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C7D2A5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315" w:afterLines="10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lang w:val="en-US" w:eastAsia="zh-CN"/>
        </w:rPr>
        <w:t>包头市卫生健康事业概况</w:t>
      </w:r>
    </w:p>
    <w:p w14:paraId="73E647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包头市委、市政府高度重视卫生健康事业发展，2023年8月印发《关于全面打造医疗高地的实施意见》，通过10个方面、30项具体措施，打造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远近闻名的医疗新高地。一年来，包头市以强化公立医院党的建设为基础，以深化体制机制改革为突破口，以加强高质高效运行管理为抓手，持续增强医疗服务核心竞争力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全市拥有国家级临床重点专科4个、国家级临床重点专科建设项目4个、自治区首批专科区域医疗中心建设项目1个、自治区级临床重点专科建设项目6个、自治区领先重点学科23个。包头市器官移植中心完成全区首例胰-肾联合移植手术，累计完成肾移植手术776例、肝移植93例，继续领跑全区。7月16日，市中心医院完成自治区首例国产5G腔镜手术机器人手术。7月24日，自治区卫健委与上海市卫健委在包签署“沪蒙医疗合作”框架协议，6家包头市医院与6家上海市医院签订医疗合作协议，让老百姓在“家门口”享受到上海专家高品质、无差别的诊疗服务。2024年截至6月底，三级公立医院门（急）诊量215.53万人次，同比增长12.7%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市外来包住院4.2万人次，同比增长10.6%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开展四级手术5735例，同比增长21.2%。老百姓看病就医获得感、安全感、幸福感持续提升，医疗高地各项目标任务逐步转化为惠及百姓的健康福祉。</w:t>
      </w:r>
    </w:p>
    <w:p w14:paraId="7C48AED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xNDRhY2Y3ODMyMTQyNTZlNzJkN2ZmYzk1N2JlMTEifQ=="/>
  </w:docVars>
  <w:rsids>
    <w:rsidRoot w:val="663F521F"/>
    <w:rsid w:val="663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40" w:line="276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2024-09-18T04:52:00Z</dcterms:created>
  <dc:creator>Administrator</dc:creator>
  <cp:lastModifiedBy>Administrator</cp:lastModifiedBy>
  <dcterms:modified xsi:type="dcterms:W3CDTF">2024-09-18T04:52:36Z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239DF9F83ED7454BBA3D1A380446FFFC_11</vt:lpwstr>
  </property>
</Properties>
</file>