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CellSpacing w:w="0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710"/>
        <w:gridCol w:w="53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36" w:type="dxa"/>
            <w:gridSpan w:val="2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人才类型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引进待遇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36" w:type="dxa"/>
            <w:gridSpan w:val="2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杰出人才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“一事一议、一人一策”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36" w:type="dxa"/>
            <w:gridSpan w:val="2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国家杰青等国家级优秀人才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根据实际需求配备；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100万元起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36" w:type="dxa"/>
            <w:gridSpan w:val="2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国家优青等国家级优秀人才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400万元以上；安家费：120万元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：60万元起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学术骨干</w:t>
            </w: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教授第一层次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80-120万元；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60-80万元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40万元+学校高端奖励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教授第二层次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30-50万元；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河北省工资待遇+2-5年住房补贴+学校高端奖励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副教授第一层次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50-70万元；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40-60万元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25-30万元+学校高端奖励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副教授第二层次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30-50万元；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河北省工资待遇+2-5年住房补贴+学校高端奖励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海内外优秀博士后</w:t>
            </w: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海内外优秀博士后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5-120万元；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20-80万元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达到A类引进条件以上享受年薪20-30万元+学校高端奖励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海内外优秀青年博士</w:t>
            </w: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A类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50-120万元；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安家费：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50-80万元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年薪20-25万+学校高端奖励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B类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科研启动经费：10-20万元；安家费：30万元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河北省工资待遇+2-5年住房补贴+学校高端奖励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26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C类</w:t>
            </w:r>
          </w:p>
        </w:tc>
        <w:tc>
          <w:tcPr>
            <w:tcW w:w="536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科研启动经费：5-10万元；安家费：20万元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河北省工资待遇+2-5年住房补贴+学校高端奖励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402F3"/>
    <w:rsid w:val="1E5E00C5"/>
    <w:rsid w:val="3B7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2020-05-19T08:50:00Z</dcterms:created>
  <dc:creator>张翠</dc:creator>
  <cp:lastModifiedBy>张翠</cp:lastModifiedBy>
  <dcterms:modified xsi:type="dcterms:W3CDTF">2020-05-19T08:52:34Z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