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autoSpaceDN w:val="0"/>
        <w:spacing w:before="225" w:line="560" w:lineRule="exact"/>
        <w:jc w:val="center"/>
        <w:rPr>
          <w:rFonts w:hint="eastAsia" w:ascii="方正小标宋_GBK" w:hAnsi="新宋体" w:eastAsia="方正小标宋_GBK" w:cs="新宋体"/>
          <w:sz w:val="36"/>
          <w:szCs w:val="36"/>
        </w:rPr>
      </w:pPr>
      <w:r>
        <w:rPr>
          <w:rFonts w:hint="eastAsia" w:ascii="方正小标宋_GBK" w:hAnsi="新宋体" w:eastAsia="方正小标宋_GBK" w:cs="新宋体"/>
          <w:sz w:val="36"/>
          <w:szCs w:val="36"/>
        </w:rPr>
        <w:t>宁夏回族自治区认定教师资格体检标准及办法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N w:val="0"/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sz w:val="24"/>
          <w:szCs w:val="32"/>
        </w:rPr>
        <w:t>为顺利实施教师资格制度，根据《教师法》、《教师资格条例》、《&lt;教师资格条例&gt;实施办法》和《宁夏回族自治区教师资格制度实施细则》，参照《普通高等学校招生体检工作指导意见》、《公务员录用体检通用标准》等，结合我区教师资格认定工作实际制定本办法。</w:t>
      </w:r>
    </w:p>
    <w:p>
      <w:pPr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一、本办法适用的对象为申请认定教师资格者。</w:t>
      </w:r>
    </w:p>
    <w:p>
      <w:pPr>
        <w:autoSpaceDN w:val="0"/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二、体检结果分为合格、不合格。</w:t>
      </w:r>
    </w:p>
    <w:p>
      <w:pPr>
        <w:autoSpaceDN w:val="0"/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（一）严重心脏病、心肌病，不合格。</w:t>
      </w:r>
    </w:p>
    <w:p>
      <w:pPr>
        <w:autoSpaceDN w:val="0"/>
        <w:spacing w:line="620" w:lineRule="exact"/>
        <w:rPr>
          <w:rFonts w:hint="eastAsia" w:ascii="宋体" w:hAnsi="宋体" w:eastAsia="宋体" w:cs="宋体"/>
          <w:spacing w:val="-8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先</w:t>
      </w:r>
      <w:r>
        <w:rPr>
          <w:rFonts w:hint="eastAsia" w:ascii="宋体" w:hAnsi="宋体" w:eastAsia="宋体" w:cs="宋体"/>
          <w:spacing w:val="-8"/>
          <w:sz w:val="24"/>
          <w:szCs w:val="32"/>
        </w:rPr>
        <w:t>天性心脏病经手术治愈或室间隔缺损分流量少、动脉导管未闭返流血量少，经二级以上医院专科检查确定无需手术者，合格。</w:t>
      </w:r>
    </w:p>
    <w:p>
      <w:pPr>
        <w:shd w:val="solid" w:color="FFFFFF" w:fill="auto"/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（二）结核病未治愈者不合格。</w:t>
      </w:r>
    </w:p>
    <w:p>
      <w:pPr>
        <w:shd w:val="solid" w:color="FFFFFF" w:fill="auto"/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32"/>
          <w:shd w:val="clear" w:color="auto" w:fill="FFFFFF"/>
        </w:rPr>
        <w:t>原发性肺结核、继发性肺结核、结核性胸膜炎，临床治愈后稳定1年无变化者，合格。</w:t>
      </w:r>
    </w:p>
    <w:p>
      <w:pPr>
        <w:shd w:val="solid" w:color="FFFFFF" w:fill="auto"/>
        <w:autoSpaceDN w:val="0"/>
        <w:spacing w:line="620" w:lineRule="exact"/>
        <w:rPr>
          <w:rFonts w:hint="eastAsia" w:ascii="宋体" w:hAnsi="宋体" w:eastAsia="宋体" w:cs="宋体"/>
          <w:sz w:val="24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32"/>
          <w:shd w:val="clear" w:color="auto" w:fill="FFFFFF"/>
        </w:rPr>
        <w:t xml:space="preserve">    肺外结核病：肾结核、骨结核、腹膜结核、淋巴结核等，临床治愈后2年无复发，经</w:t>
      </w:r>
      <w:r>
        <w:rPr>
          <w:rFonts w:hint="eastAsia" w:ascii="宋体" w:hAnsi="宋体" w:eastAsia="宋体" w:cs="宋体"/>
          <w:sz w:val="24"/>
          <w:szCs w:val="32"/>
        </w:rPr>
        <w:t>二级以上医院（或结核病防治所）</w:t>
      </w:r>
      <w:r>
        <w:rPr>
          <w:rFonts w:hint="eastAsia" w:ascii="宋体" w:hAnsi="宋体" w:eastAsia="宋体" w:cs="宋体"/>
          <w:sz w:val="24"/>
          <w:szCs w:val="32"/>
          <w:shd w:val="clear" w:color="auto" w:fill="FFFFFF"/>
        </w:rPr>
        <w:t>检查无变化者，合格。</w:t>
      </w:r>
    </w:p>
    <w:p>
      <w:pPr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（三）严重的血液病，不合格。</w:t>
      </w:r>
    </w:p>
    <w:p>
      <w:pPr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32"/>
          <w:shd w:val="clear" w:color="auto" w:fill="FFFFFF"/>
        </w:rPr>
        <w:t>单纯性缺铁性贫血，血红蛋白男性高于90g／L、女性高于80g／L，合格。</w:t>
      </w:r>
    </w:p>
    <w:p>
      <w:pPr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（四）</w:t>
      </w:r>
      <w:r>
        <w:rPr>
          <w:rFonts w:hint="eastAsia" w:ascii="宋体" w:hAnsi="宋体" w:eastAsia="宋体" w:cs="宋体"/>
          <w:sz w:val="24"/>
          <w:szCs w:val="32"/>
          <w:shd w:val="clear" w:color="auto" w:fill="FFFFFF"/>
        </w:rPr>
        <w:t>慢性支气管炎伴阻塞性肺气肿、严重支气管扩张、严重支气管哮喘，不合格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>
      <w:pPr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32"/>
        </w:rPr>
        <w:t>（五）</w:t>
      </w:r>
      <w:r>
        <w:rPr>
          <w:rFonts w:hint="eastAsia" w:ascii="宋体" w:hAnsi="宋体" w:eastAsia="宋体" w:cs="宋体"/>
          <w:sz w:val="24"/>
          <w:szCs w:val="32"/>
          <w:shd w:val="clear" w:color="auto" w:fill="FFFFFF"/>
        </w:rPr>
        <w:t>严重慢性胃、肠疾病不合格。</w:t>
      </w:r>
    </w:p>
    <w:p>
      <w:pPr>
        <w:autoSpaceDN w:val="0"/>
        <w:spacing w:line="620" w:lineRule="exact"/>
        <w:rPr>
          <w:rFonts w:hint="eastAsia" w:ascii="宋体" w:hAnsi="宋体" w:eastAsia="宋体" w:cs="宋体"/>
          <w:sz w:val="24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32"/>
          <w:shd w:val="clear" w:color="auto" w:fill="FFFFFF"/>
        </w:rPr>
        <w:t xml:space="preserve">    胃溃疡或十二指肠溃疡已愈合，且1年内无出血史，1年以上无症状者，合格。</w:t>
      </w:r>
    </w:p>
    <w:p>
      <w:pPr>
        <w:autoSpaceDN w:val="0"/>
        <w:spacing w:line="620" w:lineRule="exact"/>
        <w:rPr>
          <w:rFonts w:hint="eastAsia" w:ascii="宋体" w:hAnsi="宋体" w:eastAsia="宋体" w:cs="宋体"/>
          <w:sz w:val="24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32"/>
          <w:shd w:val="clear" w:color="auto" w:fill="FFFFFF"/>
        </w:rPr>
        <w:t xml:space="preserve">    胃次全切除术后无严重并发症者，合格。</w:t>
      </w:r>
    </w:p>
    <w:p>
      <w:pPr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（六）各种急慢性肝炎和肝硬化不合格。</w:t>
      </w:r>
    </w:p>
    <w:p>
      <w:pPr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（七）恶性肿瘤不合格。</w:t>
      </w:r>
    </w:p>
    <w:p>
      <w:pPr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（八）慢性肾炎、慢性肾盂炎、多囊肾、肾功能不全，或急性肾炎治愈不足两年，不合格。    </w:t>
      </w:r>
    </w:p>
    <w:p>
      <w:pPr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shd w:val="clear" w:color="auto" w:fill="FFFFFF"/>
        </w:rPr>
        <w:t>（九）</w:t>
      </w:r>
      <w:r>
        <w:rPr>
          <w:rFonts w:hint="eastAsia" w:ascii="宋体" w:hAnsi="宋体" w:eastAsia="宋体" w:cs="宋体"/>
          <w:sz w:val="24"/>
          <w:szCs w:val="32"/>
        </w:rPr>
        <w:t>I型糖尿病、II型糖尿病，伴心、脑、肾、眼及末梢循环等其他器官功能严重受损者，不合格。</w:t>
      </w:r>
    </w:p>
    <w:p>
      <w:pPr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32"/>
          <w:shd w:val="clear" w:color="auto" w:fill="FFFFFF"/>
        </w:rPr>
        <w:t>尿崩症、肢端肥大症等内分泌系统疾病患者，不合格。</w:t>
      </w:r>
    </w:p>
    <w:p>
      <w:pPr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shd w:val="clear" w:color="auto" w:fill="FFFFFF"/>
        </w:rPr>
        <w:t>甲状腺功能亢进治愈后1年无症状和体征者，合格。</w:t>
      </w:r>
    </w:p>
    <w:p>
      <w:pPr>
        <w:autoSpaceDN w:val="0"/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shd w:val="clear" w:color="auto" w:fill="FFFFFF"/>
        </w:rPr>
        <w:t xml:space="preserve">    （十）有癫痫病史、精神病史、癔病史、严重的神经官能症（经常头痛头晕、失眠、记忆力明显下降等），精神活性物质滥用和依赖者，不合格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>
      <w:pPr>
        <w:autoSpaceDN w:val="0"/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shd w:val="clear" w:color="auto" w:fill="FFFFFF"/>
        </w:rPr>
        <w:t xml:space="preserve">    （十一）红斑狼疮、皮肌炎和多发性肌炎、硬皮病、结节性多动脉炎、类风湿性关节炎等各种弥漫性结缔组织疾病，大动脉炎，不合格。</w:t>
      </w:r>
    </w:p>
    <w:p>
      <w:pPr>
        <w:autoSpaceDN w:val="0"/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shd w:val="clear" w:color="auto" w:fill="FFFFFF"/>
        </w:rPr>
        <w:t xml:space="preserve">    （十二）淋病、梅毒、软下疳、性病性淋巴肉芽肿、尖锐湿疣、生殖器疱疹，艾滋病，不合格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>
      <w:pPr>
        <w:autoSpaceDN w:val="0"/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shd w:val="clear" w:color="auto" w:fill="FFFFFF"/>
        </w:rPr>
        <w:t xml:space="preserve">    （十三）晚期血吸虫病，晚期血丝虫病兼有橡皮肿或有乳糜尿，不合格。</w:t>
      </w:r>
    </w:p>
    <w:p>
      <w:pPr>
        <w:autoSpaceDN w:val="0"/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　　（十四）色盲、色弱，幼儿园教师资格，不合格。</w:t>
      </w:r>
    </w:p>
    <w:p>
      <w:pPr>
        <w:autoSpaceDN w:val="0"/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　　（十五）</w:t>
      </w:r>
      <w:r>
        <w:rPr>
          <w:rFonts w:hint="eastAsia" w:ascii="宋体" w:hAnsi="宋体" w:eastAsia="宋体" w:cs="宋体"/>
          <w:kern w:val="0"/>
          <w:sz w:val="24"/>
          <w:szCs w:val="32"/>
        </w:rPr>
        <w:t>青光眼、视网膜、视神经疾病，不合格。陈旧性或稳定性眼底病，合格。</w:t>
      </w:r>
    </w:p>
    <w:p>
      <w:pPr>
        <w:autoSpaceDN w:val="0"/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　　（十六）</w:t>
      </w:r>
      <w:r>
        <w:rPr>
          <w:rFonts w:hint="eastAsia" w:ascii="宋体" w:hAnsi="宋体" w:eastAsia="宋体" w:cs="宋体"/>
          <w:sz w:val="24"/>
          <w:szCs w:val="32"/>
          <w:shd w:val="clear" w:color="auto" w:fill="FFFFFF"/>
        </w:rPr>
        <w:t>双耳均有听力障碍，在佩戴助听器情况下，双耳在3米以内耳语仍听不见者，不合格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>
      <w:pPr>
        <w:autoSpaceDN w:val="0"/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　　（十七）四肢有一肢缺失或不能运动，借助辅助工具仍不能完成教学者，不合格。</w:t>
      </w:r>
    </w:p>
    <w:p>
      <w:pPr>
        <w:autoSpaceDN w:val="0"/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　　（十八）语言残疾或口腔有生理缺陷及耳、鼻、喉疾病之一并妨碍发音者，不合格。</w:t>
      </w:r>
    </w:p>
    <w:p>
      <w:pPr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十九）面部有较大面积（3×3厘米）疤痕、血管瘤、白癜风、色素痣，或斜颈、面瘫、唇腭裂及其手术后遗症、一眼失明及五官先天或后天性残缺、畸形等情况，经修正和借助辅助工具仍严重影响面容者，幼儿园、小学教师资格，不合格。</w:t>
      </w:r>
    </w:p>
    <w:p>
      <w:pPr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（二十）申请幼儿园教师资格，淋球菌、梅毒螺旋体和妇科滴虫、外阴阴道假丝酵母菌（念球菌）检查阳性者，不合格。</w:t>
      </w:r>
    </w:p>
    <w:p>
      <w:pPr>
        <w:spacing w:line="620" w:lineRule="exact"/>
        <w:ind w:firstLine="51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三、体检机构</w:t>
      </w:r>
    </w:p>
    <w:p>
      <w:pPr>
        <w:spacing w:line="620" w:lineRule="exact"/>
        <w:ind w:firstLine="51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由各级教师资格认定机构指定的二级以上医院、体检中心负责体检。</w:t>
      </w:r>
    </w:p>
    <w:p>
      <w:pPr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四、体检要求</w:t>
      </w:r>
    </w:p>
    <w:p>
      <w:pPr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（一）对申请认定教师资格者开展体检工作，是全面实施教师资格制度的重要环节。各级教师资格认定机构要高度重视、提高认识，切实做好宣传教育和组织工作，加大对体检工作的协调、指导、督促检查力度，及时负责地解决体检工作中出现的疑难问题，确保体检工作的顺利进行。</w:t>
      </w:r>
    </w:p>
    <w:p>
      <w:pPr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（二）体检医院要指定一名副院长负责体检的具体工作，并选调政治思想素质好、工作责任心强、作风正派、业务水平高的体检医师、护士和工作人员组成检查队伍。在每次体检前，应组织全体检查人员认真学习有关政策规定和“体检标准及办法”，进行必要的业务培训，制定相应的工作措施和奖惩制度。体检过程中，体检表、检验单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必须由医院指定专人传递和集中保管。每项检查，应指定专人组织，逐个对照检查，以防漏检或作弊。</w:t>
      </w:r>
    </w:p>
    <w:p>
      <w:pPr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（三）参加体检的各科医生对本科所检的项目负责，不得漏填或错填。发现阳性体征，一律如实记入体检表内，不得随意涂改。如确需更正的，应在被更改结果上横腰划一条横杆，使被更改的字迹能清晰可见，然后在左边写上更改后的论断或数据，主检医生在更改后要签名，并加盖体检医院公章，以示负责。疾病名称、化验结果及体检结论，均应用中文填写。</w:t>
      </w:r>
    </w:p>
    <w:p>
      <w:pPr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（四）主检医师应及时综合各科检查结果，全面检查无误后，对照认定教师资格“体检标准”作出“合格”或“不合格”的结论，填写在体检结论栏内。医院根据体检综合情况，作出“体检合格”或“体检不合格”的结论，由负责院长签字并加盖公章，填写在体检医院意见栏内。</w:t>
      </w:r>
    </w:p>
    <w:p>
      <w:pPr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（五）体检中若发现有疑难问题，应采取集体会诊或进一步检查后再下结论。若因设备条件限制或会诊仍难判断者，应到教师资格认定机构指定的医院复查。复查时，只限单科复查，并用原体检表。复查医院对体检医院的诊断结论否定时，要在诊断证明书上详注复查结果。申请人在其他医疗机构自行取得的任何体检材料，均不得作为当事人申请认定教师资格健康状况的依据。</w:t>
      </w:r>
    </w:p>
    <w:p>
      <w:pPr>
        <w:spacing w:line="62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（六）对申请认定教师资格者进行体检是一项十分严肃的工作，体检医院必须做到思想认识到位，医务人员配置到位，医疗设备准备到位，做到客观公正、实事求是，确保体检结论准确、及时。对弄虚作假者，除取消当事人认定的教师资格外，对责任人要严肃处理。体检医院出现严重问题的，教师资格认定机构要及时取消其体检资格并通报批评。</w:t>
      </w:r>
    </w:p>
    <w:p>
      <w:pPr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五、对具有硕士研究生及以上学历层次者，或高等学校拟聘任任教人员申请认定高等学校教师资格，在部分体检项目标准的执行上可适当放宽，但必须委托相应的教师资格审查委员会审查通过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。</w:t>
      </w:r>
    </w:p>
    <w:p>
      <w:pPr>
        <w:autoSpaceDN w:val="0"/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六、本办法自下发之日起执行，原办法自本办法实施之日起废止。本办法由宁夏回族自治区教育厅负责解释。</w:t>
      </w:r>
    </w:p>
    <w:p>
      <w:pPr>
        <w:spacing w:line="540" w:lineRule="exact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80" w:lineRule="atLeast"/>
        <w:jc w:val="left"/>
        <w:rPr>
          <w:rFonts w:hint="eastAsia" w:ascii="方正小标宋_GBK" w:hAnsi="宋体" w:eastAsia="方正小标宋_GBK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32FCC"/>
    <w:rsid w:val="430A3C29"/>
    <w:rsid w:val="7EC3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2019-04-08T08:27:00Z</dcterms:created>
  <dc:creator>lenovo-T2</dc:creator>
  <cp:lastModifiedBy>lenovo-T2</cp:lastModifiedBy>
  <dcterms:modified xsi:type="dcterms:W3CDTF">2019-04-08T08:35:49Z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