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480" w:lineRule="exact"/>
        <w:jc w:val="center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</w:rPr>
        <w:t>中小学教师资格考试报名在线支付方式</w:t>
      </w:r>
    </w:p>
    <w:p>
      <w:pPr>
        <w:spacing w:before="50" w:line="480" w:lineRule="exact"/>
        <w:rPr>
          <w:rFonts w:ascii="宋体" w:hAnsi="宋体"/>
          <w:szCs w:val="21"/>
        </w:rPr>
      </w:pPr>
    </w:p>
    <w:p>
      <w:pPr>
        <w:pStyle w:val="4"/>
        <w:numPr>
          <w:ilvl w:val="0"/>
          <w:numId w:val="1"/>
        </w:numPr>
        <w:spacing w:before="50" w:line="480" w:lineRule="exact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在线支付银行列表</w:t>
      </w:r>
    </w:p>
    <w:tbl>
      <w:tblPr>
        <w:tblStyle w:val="3"/>
        <w:tblpPr w:leftFromText="180" w:rightFromText="180" w:vertAnchor="text" w:horzAnchor="page" w:tblpX="3483" w:tblpY="49"/>
        <w:tblOverlap w:val="never"/>
        <w:tblW w:w="4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招商银行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工商银行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平安银行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民生银行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广东发展银行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华夏银行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浦发银行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光大银行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北京农村商业银行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渤海银行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中信银行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上海银行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银联支付</w:t>
            </w:r>
          </w:p>
        </w:tc>
      </w:tr>
    </w:tbl>
    <w:p>
      <w:pPr>
        <w:pStyle w:val="5"/>
        <w:spacing w:line="480" w:lineRule="exact"/>
        <w:ind w:firstLine="0" w:firstLineChars="0"/>
        <w:rPr>
          <w:rFonts w:ascii="宋体" w:hAnsi="宋体"/>
        </w:rPr>
      </w:pPr>
    </w:p>
    <w:p>
      <w:pPr>
        <w:widowControl/>
        <w:spacing w:line="480" w:lineRule="exact"/>
        <w:jc w:val="center"/>
        <w:rPr>
          <w:rFonts w:ascii="宋体" w:hAnsi="宋体" w:cs="宋体"/>
          <w:kern w:val="0"/>
          <w:szCs w:val="21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  <w:sz w:val="24"/>
          <w:szCs w:val="24"/>
        </w:rPr>
        <w:t>支付宝在线支付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30506"/>
    <w:multiLevelType w:val="multilevel"/>
    <w:tmpl w:val="46630506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E25FD"/>
    <w:rsid w:val="26AE25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2018-12-07T03:04:00Z</dcterms:created>
  <dc:creator>ASUS</dc:creator>
  <cp:lastModifiedBy>ASUS</cp:lastModifiedBy>
  <dcterms:modified xsi:type="dcterms:W3CDTF">2018-12-07T03:04:36Z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