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7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0"/>
        <w:gridCol w:w="1980"/>
        <w:gridCol w:w="2925"/>
        <w:gridCol w:w="1860"/>
        <w:gridCol w:w="22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8985" w:type="dxa"/>
          <w:trHeight w:val="390" w:hRule="atLeast"/>
        </w:trPr>
        <w:tc>
          <w:tcPr>
            <w:tcW w:w="81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9795" w:type="dxa"/>
            <w:gridSpan w:val="5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36"/>
                <w:szCs w:val="36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钟山区2017年第二批教师资格证书领取人员名单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申请资格种类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证书编号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肖媛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文晓珣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李怡霖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李昱均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谭红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蔡雲吉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孙钰杰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翁嗣朝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陈永英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成静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龙国茂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张熙悦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张凤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黄沙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袁远萍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黄菊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杨欣雨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李迪媛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谢平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樊俊杰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张洋洋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苏凤霞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惠晓靖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夏敏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林瑶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周艳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孟清芳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李亚洁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郭厚阳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汤书涛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李章倩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胡文蓉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严雪梅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邓芳凝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刘彦宏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幼儿园教师资格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张美玲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幼儿园教师资格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杨野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幼儿园教师资格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翟琪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幼儿园教师资格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陈润雪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幼儿园教师资格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朱永欢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幼儿园教师资格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郭元元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幼儿园教师资格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2220" w:type="dxa"/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B147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2017-07-08T06:59:38Z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2052-10.1.0.6638</vt:lpwstr>
  </property>
</Properties>
</file>