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Style w:val="3"/>
          <w:rFonts w:ascii="宋体" w:hAnsi="宋体" w:eastAsia="宋体" w:cs="宋体"/>
          <w:kern w:val="0"/>
          <w:sz w:val="21"/>
          <w:szCs w:val="21"/>
          <w:lang w:val="en-US" w:eastAsia="zh-CN" w:bidi="ar"/>
        </w:rPr>
        <w:t>关于2016年下半年海南省中小学教师资格考试面试的公告</w:t>
      </w:r>
    </w:p>
    <w:p>
      <w:pPr>
        <w:keepNext w:val="0"/>
        <w:keepLines w:val="0"/>
        <w:widowControl/>
        <w:suppressLineNumbers w:val="0"/>
        <w:jc w:val="left"/>
      </w:pPr>
      <w:r>
        <w:rPr>
          <w:rFonts w:ascii="宋体" w:hAnsi="宋体" w:eastAsia="宋体" w:cs="宋体"/>
          <w:kern w:val="0"/>
          <w:sz w:val="21"/>
          <w:szCs w:val="21"/>
          <w:lang w:val="en-US" w:eastAsia="zh-CN" w:bidi="ar"/>
        </w:rPr>
        <w:t> </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请考生注意按照各考区开考的类别、科目正确选择考区。</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2016年下半年中小学教师资格考试面试工作即将开始，现就面试有关事项公告如下：</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 xml:space="preserve">一、报名条件 </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（一）户籍或人事档案在海南省，包括在海南省全日制普通高校就读的在校三年级以上（含三年级）学生，或户籍在海南省，在省外全日制普通高校就读的在校三年级以上（含三年级）学生。</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（二）符合海南省教师资格认定的学历条件。</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报考幼儿园和小学教师资格的应当具备大学专科毕业及以上学历；报考初级中学、高级中学、中等职业学校教师资格的应当具备大学本科毕业及以上学历；报考中等职业学校实习指导教师资格的应当具备中专毕业及以上学历，同时还应具备相当于助理工程师以上专业技术资格或中级以上工人技术等级。</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（三）已参加全国中小学教师资格考试笔试，相应各科成绩合格，并且各科笔试合格成绩在有效期内。</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被撤销教师资格的，5年内不得报名参加考试；受到剥夺政治权利，或故意犯罪受到有期徒刑以上刑事处罚的，不得报名参加考试。曾参加教师资格考试有作弊行为的，按照《国家教育考试违规处理办法》的相关规定执行。</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二、报名要求</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（一）报名前应认真阅读本公告的内容，确保本人符合我省中小学教师资格考试面试的报考条件。</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（二）确保本人报名信息填报真实，没有弄虚作假。</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（三）确保自身条件符合所报考类别需要的学历条件。</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考生在我省参加面试报名时，必须做到以上三点，否则，即使面试成绩合格而获得教育部考试中心颁发的《中小学教师资格考试合格证明》，也不能在我省成功认定中小学教师资格，由此而产生的一切后果由考生本人负责。</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三、报名办法及时间</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（一）报名办法：我省中小学教师资格考试面试采用网上报名、网上审核、网上付费的办法。参加笔试且成绩合格的考生报名参加面试不再需要现场递交报名材料。</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（二）报名时间：</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12月16日-19日：网上报名。考生登录教育部中小学教师资格考试网（  http://www.ntce.cn ）在12月19日17：30前填报本人报名信息，逾期，不再接受考生报名。</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12月16日-20日：网上审核。成功提交报名信息的考生，12月 20日17：00前，再次登录报名系统查看本人报名资格审查结果。如未通过审核且原因不明，可向报名考区咨询。</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12月16日-22日：网上交费。审核通过的考生，须在12月22日17：30之前完成网上付费。没有在规定时间内支付考试费的考生将按未报名处理。逾期不再受理补报。</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（三）报名流程：</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fldChar w:fldCharType="begin"/>
      </w:r>
      <w:r>
        <w:rPr>
          <w:rFonts w:ascii="宋体" w:hAnsi="宋体" w:eastAsia="宋体" w:cs="宋体"/>
          <w:kern w:val="0"/>
          <w:sz w:val="21"/>
          <w:szCs w:val="21"/>
          <w:lang w:val="en-US" w:eastAsia="zh-CN" w:bidi="ar"/>
        </w:rPr>
        <w:instrText xml:space="preserve">INCLUDEPICTURE \d "http://www.ntce.cn/uploads/allimg/161212/10-161212133945D6.png" \* MERGEFORMATINET </w:instrText>
      </w:r>
      <w:r>
        <w:rPr>
          <w:rFonts w:ascii="宋体" w:hAnsi="宋体" w:eastAsia="宋体" w:cs="宋体"/>
          <w:kern w:val="0"/>
          <w:sz w:val="21"/>
          <w:szCs w:val="21"/>
          <w:lang w:val="en-US" w:eastAsia="zh-CN" w:bidi="ar"/>
        </w:rPr>
        <w:fldChar w:fldCharType="separate"/>
      </w:r>
      <w:r>
        <w:rPr>
          <w:rFonts w:ascii="宋体" w:hAnsi="宋体" w:eastAsia="宋体" w:cs="宋体"/>
          <w:kern w:val="0"/>
          <w:sz w:val="21"/>
          <w:szCs w:val="21"/>
          <w:lang w:val="en-US" w:eastAsia="zh-CN" w:bidi="ar"/>
        </w:rPr>
        <w:drawing>
          <wp:inline distT="0" distB="0" distL="114300" distR="114300">
            <wp:extent cx="8001000" cy="28384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8001000" cy="2838450"/>
                    </a:xfrm>
                    <a:prstGeom prst="rect">
                      <a:avLst/>
                    </a:prstGeom>
                    <a:noFill/>
                    <a:ln w="9525">
                      <a:noFill/>
                    </a:ln>
                  </pic:spPr>
                </pic:pic>
              </a:graphicData>
            </a:graphic>
          </wp:inline>
        </w:drawing>
      </w:r>
      <w:r>
        <w:rPr>
          <w:rFonts w:ascii="宋体" w:hAnsi="宋体" w:eastAsia="宋体" w:cs="宋体"/>
          <w:kern w:val="0"/>
          <w:sz w:val="21"/>
          <w:szCs w:val="21"/>
          <w:lang w:val="en-US" w:eastAsia="zh-CN" w:bidi="ar"/>
        </w:rPr>
        <w:fldChar w:fldCharType="end"/>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xml:space="preserve">    </w:t>
      </w:r>
      <w:r>
        <w:rPr>
          <w:rStyle w:val="3"/>
          <w:rFonts w:ascii="宋体" w:hAnsi="宋体" w:eastAsia="宋体" w:cs="宋体"/>
          <w:kern w:val="0"/>
          <w:sz w:val="21"/>
          <w:szCs w:val="21"/>
          <w:lang w:val="en-US" w:eastAsia="zh-CN" w:bidi="ar"/>
        </w:rPr>
        <w:t>四、收费</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根据海南省物价局、海南省财政厅琼价费管[2015]302号文件规定，海南省中小学教师资格考试面试收费标准如下：</w:t>
      </w:r>
    </w:p>
    <w:tbl>
      <w:tblPr>
        <w:tblW w:w="8305" w:type="dxa"/>
        <w:tblCellSpacing w:w="0" w:type="dxa"/>
        <w:tblInd w:w="0" w:type="dxa"/>
        <w:shd w:val="clear"/>
        <w:tblLayout w:type="fixed"/>
        <w:tblCellMar>
          <w:top w:w="0" w:type="dxa"/>
          <w:left w:w="0" w:type="dxa"/>
          <w:bottom w:w="0" w:type="dxa"/>
          <w:right w:w="0" w:type="dxa"/>
        </w:tblCellMar>
      </w:tblPr>
      <w:tblGrid>
        <w:gridCol w:w="1181"/>
        <w:gridCol w:w="2419"/>
        <w:gridCol w:w="2286"/>
        <w:gridCol w:w="2419"/>
      </w:tblGrid>
      <w:tr>
        <w:tblPrEx>
          <w:shd w:val="clear"/>
          <w:tblLayout w:type="fixed"/>
        </w:tblPrEx>
        <w:trPr>
          <w:tblCellSpacing w:w="0" w:type="dxa"/>
        </w:trPr>
        <w:tc>
          <w:tcPr>
            <w:tcW w:w="118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类别</w:t>
            </w:r>
          </w:p>
        </w:tc>
        <w:tc>
          <w:tcPr>
            <w:tcW w:w="24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幼儿园、小学</w:t>
            </w:r>
          </w:p>
        </w:tc>
        <w:tc>
          <w:tcPr>
            <w:tcW w:w="228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初级中学</w:t>
            </w:r>
          </w:p>
        </w:tc>
        <w:tc>
          <w:tcPr>
            <w:tcW w:w="24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高级中学、中职</w:t>
            </w:r>
          </w:p>
        </w:tc>
      </w:tr>
      <w:tr>
        <w:tblPrEx>
          <w:tblLayout w:type="fixed"/>
          <w:tblCellMar>
            <w:top w:w="0" w:type="dxa"/>
            <w:left w:w="0" w:type="dxa"/>
            <w:bottom w:w="0" w:type="dxa"/>
            <w:right w:w="0" w:type="dxa"/>
          </w:tblCellMar>
        </w:tblPrEx>
        <w:trPr>
          <w:tblCellSpacing w:w="0" w:type="dxa"/>
        </w:trPr>
        <w:tc>
          <w:tcPr>
            <w:tcW w:w="118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收费标准</w:t>
            </w:r>
          </w:p>
        </w:tc>
        <w:tc>
          <w:tcPr>
            <w:tcW w:w="24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300元/人</w:t>
            </w:r>
          </w:p>
        </w:tc>
        <w:tc>
          <w:tcPr>
            <w:tcW w:w="2286"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300元/人</w:t>
            </w:r>
          </w:p>
        </w:tc>
        <w:tc>
          <w:tcPr>
            <w:tcW w:w="241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350元/人</w:t>
            </w:r>
          </w:p>
        </w:tc>
      </w:tr>
    </w:tbl>
    <w:p>
      <w:pPr>
        <w:keepNext w:val="0"/>
        <w:keepLines w:val="0"/>
        <w:widowControl/>
        <w:suppressLineNumbers w:val="0"/>
        <w:jc w:val="left"/>
      </w:pPr>
      <w:r>
        <w:rPr>
          <w:rFonts w:ascii="宋体" w:hAnsi="宋体" w:eastAsia="宋体" w:cs="宋体"/>
          <w:kern w:val="0"/>
          <w:sz w:val="21"/>
          <w:szCs w:val="21"/>
          <w:lang w:val="en-US" w:eastAsia="zh-CN" w:bidi="ar"/>
        </w:rPr>
        <w:t>收费采取网上交费方式，具体网上支付银行列表见附件1。</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五、报名注意事项</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一）考生报名参加我省中小学教师资格考试面试，必须符合我省中小学教师资格考试面试报名条件，并如实填报报名信息。若弄虚作假获取中小学教师资格考试面试资格，即使获得教师资格考试合格证明，一经查实，仍将按照有关规定予以处理。</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（二）考生须本人登录教育部教师资格考试网报名系统进行报名，并对本人所填报的个人信息和报考信息的准确性负责。禁止委托培训机构或学校团体代替报名，如因违反而造成信息有误，责任由考生本人承担。</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（三）考生在网上报名时，请务必按要求选择考区，否则将不能通过审核。</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（四）考生所报类别各科目笔试成绩均合格且合格成绩在有效期内，方具备面试报名资格。网上报名系统有判别考生是否具备报名资格的功能，不具备报考资格的考生将无法进行网上报名操作。</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（五）未参加2016年下半年笔试的考生，在面试报名前需要重新进行注册和填报个人信息，重新注册操作不影响考生的面试报名资格。</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（六）已参加2016的下半年笔试的考生不用重新注册。考生忘记密码可通过以下三种途径重置密码：</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1.自助重置密码    </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考生可通过回答注册时预设的“密码保护问题”自助重置密码。  </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2.短信获取密码    </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考生可通过报名注册时所填写的手机号码短信获取密码。注：手机短信为考生重新获取密码的重要途径，在参加中小学教师资格考试期间，请考生慎重更换手机号码。  </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3.拔打教育部考试中心客服电话</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考生可在工作时间内通过拨打教育部考试中心客服电话进行密码重置。（客服电话010-82345677）。  </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（七）准考证由考生自行登录报名系统下载、打印，打印准考证开放日期：2017年1月2日至8日。</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六、面试时间及考点设置</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面试时间：2017年1月7日至8日，各考生参加面试的具体时间以本人准考证上的时间为准。</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我省2016年下半年中小学教师资格考试面试共设海南师范大学龙昆南校区、海南师范大学桂林洋校区、海南热带海洋学院三亚校区、琼台师范学院4个考区，报名结束后各考区根据实际报名情况设置考点。</w:t>
      </w:r>
    </w:p>
    <w:tbl>
      <w:tblPr>
        <w:tblW w:w="8303" w:type="dxa"/>
        <w:tblCellSpacing w:w="0" w:type="dxa"/>
        <w:tblInd w:w="0" w:type="dxa"/>
        <w:shd w:val="clear"/>
        <w:tblLayout w:type="fixed"/>
        <w:tblCellMar>
          <w:top w:w="0" w:type="dxa"/>
          <w:left w:w="0" w:type="dxa"/>
          <w:bottom w:w="0" w:type="dxa"/>
          <w:right w:w="0" w:type="dxa"/>
        </w:tblCellMar>
      </w:tblPr>
      <w:tblGrid>
        <w:gridCol w:w="1678"/>
        <w:gridCol w:w="2363"/>
        <w:gridCol w:w="1703"/>
        <w:gridCol w:w="2559"/>
      </w:tblGrid>
      <w:tr>
        <w:tblPrEx>
          <w:shd w:val="clear"/>
          <w:tblLayout w:type="fixed"/>
          <w:tblCellMar>
            <w:top w:w="0" w:type="dxa"/>
            <w:left w:w="0" w:type="dxa"/>
            <w:bottom w:w="0" w:type="dxa"/>
            <w:right w:w="0" w:type="dxa"/>
          </w:tblCellMar>
        </w:tblPrEx>
        <w:trPr>
          <w:trHeight w:val="720" w:hRule="atLeast"/>
          <w:tblCellSpacing w:w="0" w:type="dxa"/>
        </w:trPr>
        <w:tc>
          <w:tcPr>
            <w:tcW w:w="167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考区名称</w:t>
            </w:r>
          </w:p>
        </w:tc>
        <w:tc>
          <w:tcPr>
            <w:tcW w:w="236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单位地址</w:t>
            </w:r>
          </w:p>
        </w:tc>
        <w:tc>
          <w:tcPr>
            <w:tcW w:w="170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咨询</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电话</w:t>
            </w:r>
          </w:p>
        </w:tc>
        <w:tc>
          <w:tcPr>
            <w:tcW w:w="2559"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说 明</w:t>
            </w:r>
          </w:p>
        </w:tc>
      </w:tr>
      <w:tr>
        <w:tblPrEx>
          <w:tblLayout w:type="fixed"/>
          <w:tblCellMar>
            <w:top w:w="0" w:type="dxa"/>
            <w:left w:w="0" w:type="dxa"/>
            <w:bottom w:w="0" w:type="dxa"/>
            <w:right w:w="0" w:type="dxa"/>
          </w:tblCellMar>
        </w:tblPrEx>
        <w:trPr>
          <w:trHeight w:val="1801" w:hRule="atLeast"/>
          <w:tblCellSpacing w:w="0" w:type="dxa"/>
        </w:trPr>
        <w:tc>
          <w:tcPr>
            <w:tcW w:w="167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海南师范大学龙昆南校区</w:t>
            </w:r>
          </w:p>
        </w:tc>
        <w:tc>
          <w:tcPr>
            <w:tcW w:w="236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海南省海口市龙昆南路99号海南师范大学</w:t>
            </w:r>
          </w:p>
        </w:tc>
        <w:tc>
          <w:tcPr>
            <w:tcW w:w="170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65888773</w:t>
            </w:r>
          </w:p>
        </w:tc>
        <w:tc>
          <w:tcPr>
            <w:tcW w:w="2559" w:type="dxa"/>
            <w:shd w:val="clear"/>
            <w:vAlign w:val="center"/>
          </w:tcPr>
          <w:p>
            <w:pPr>
              <w:keepNext w:val="0"/>
              <w:keepLines w:val="0"/>
              <w:widowControl/>
              <w:suppressLineNumbers w:val="0"/>
              <w:jc w:val="left"/>
            </w:pPr>
            <w:r>
              <w:rPr>
                <w:rStyle w:val="3"/>
                <w:rFonts w:ascii="宋体" w:hAnsi="宋体" w:eastAsia="宋体" w:cs="宋体"/>
                <w:kern w:val="0"/>
                <w:sz w:val="21"/>
                <w:szCs w:val="21"/>
                <w:lang w:val="en-US" w:eastAsia="zh-CN" w:bidi="ar"/>
              </w:rPr>
              <w:t>接受除小学体育、中学体育与健康（含初级、高级）、中学英语（含初级、高级）、中学语文（含初级、高级）科目以外的所有科目考生报考。</w:t>
            </w:r>
          </w:p>
        </w:tc>
      </w:tr>
      <w:tr>
        <w:tblPrEx>
          <w:tblLayout w:type="fixed"/>
          <w:tblCellMar>
            <w:top w:w="0" w:type="dxa"/>
            <w:left w:w="0" w:type="dxa"/>
            <w:bottom w:w="0" w:type="dxa"/>
            <w:right w:w="0" w:type="dxa"/>
          </w:tblCellMar>
        </w:tblPrEx>
        <w:trPr>
          <w:trHeight w:val="345" w:hRule="atLeast"/>
          <w:tblCellSpacing w:w="0" w:type="dxa"/>
        </w:trPr>
        <w:tc>
          <w:tcPr>
            <w:tcW w:w="167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海南师范大学桂林洋校区</w:t>
            </w:r>
          </w:p>
        </w:tc>
        <w:tc>
          <w:tcPr>
            <w:tcW w:w="236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海南省海口市桂林洋高校区海涛大道校际一号路海南师范大学桂林洋校区</w:t>
            </w:r>
          </w:p>
        </w:tc>
        <w:tc>
          <w:tcPr>
            <w:tcW w:w="170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65888773</w:t>
            </w:r>
          </w:p>
        </w:tc>
        <w:tc>
          <w:tcPr>
            <w:tcW w:w="2559" w:type="dxa"/>
            <w:shd w:val="clear"/>
            <w:vAlign w:val="center"/>
          </w:tcPr>
          <w:p>
            <w:pPr>
              <w:keepNext w:val="0"/>
              <w:keepLines w:val="0"/>
              <w:widowControl/>
              <w:suppressLineNumbers w:val="0"/>
              <w:jc w:val="left"/>
            </w:pPr>
            <w:r>
              <w:rPr>
                <w:rStyle w:val="3"/>
                <w:rFonts w:ascii="宋体" w:hAnsi="宋体" w:eastAsia="宋体" w:cs="宋体"/>
                <w:kern w:val="0"/>
                <w:sz w:val="21"/>
                <w:szCs w:val="21"/>
                <w:lang w:val="en-US" w:eastAsia="zh-CN" w:bidi="ar"/>
              </w:rPr>
              <w:t>只接受小学体育、中学体育与健康（含初级、高级）、中学英语（含初级、高级）科目的考生报考，不接受其它科目的考生报考。</w:t>
            </w:r>
          </w:p>
        </w:tc>
      </w:tr>
      <w:tr>
        <w:tblPrEx>
          <w:tblLayout w:type="fixed"/>
          <w:tblCellMar>
            <w:top w:w="0" w:type="dxa"/>
            <w:left w:w="0" w:type="dxa"/>
            <w:bottom w:w="0" w:type="dxa"/>
            <w:right w:w="0" w:type="dxa"/>
          </w:tblCellMar>
        </w:tblPrEx>
        <w:trPr>
          <w:trHeight w:val="345" w:hRule="atLeast"/>
          <w:tblCellSpacing w:w="0" w:type="dxa"/>
        </w:trPr>
        <w:tc>
          <w:tcPr>
            <w:tcW w:w="167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海南热带海洋学院</w:t>
            </w:r>
          </w:p>
        </w:tc>
        <w:tc>
          <w:tcPr>
            <w:tcW w:w="236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海南热带海洋学院三亚校区（三亚市育才路1号）</w:t>
            </w:r>
          </w:p>
        </w:tc>
        <w:tc>
          <w:tcPr>
            <w:tcW w:w="170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88651874</w:t>
            </w:r>
          </w:p>
        </w:tc>
        <w:tc>
          <w:tcPr>
            <w:tcW w:w="2559" w:type="dxa"/>
            <w:shd w:val="clear"/>
            <w:vAlign w:val="center"/>
          </w:tcPr>
          <w:p>
            <w:pPr>
              <w:keepNext w:val="0"/>
              <w:keepLines w:val="0"/>
              <w:widowControl/>
              <w:suppressLineNumbers w:val="0"/>
              <w:jc w:val="left"/>
            </w:pPr>
            <w:r>
              <w:rPr>
                <w:rStyle w:val="3"/>
                <w:rFonts w:ascii="宋体" w:hAnsi="宋体" w:eastAsia="宋体" w:cs="宋体"/>
                <w:kern w:val="0"/>
                <w:sz w:val="21"/>
                <w:szCs w:val="21"/>
                <w:lang w:val="en-US" w:eastAsia="zh-CN" w:bidi="ar"/>
              </w:rPr>
              <w:t>只接受幼儿园、小学语文、数学、英语及中学（含初级、高级）语文、数学、英语科目考生报考，不接受其它科目的考生报考。</w:t>
            </w:r>
          </w:p>
        </w:tc>
      </w:tr>
      <w:tr>
        <w:tblPrEx>
          <w:tblLayout w:type="fixed"/>
          <w:tblCellMar>
            <w:top w:w="0" w:type="dxa"/>
            <w:left w:w="0" w:type="dxa"/>
            <w:bottom w:w="0" w:type="dxa"/>
            <w:right w:w="0" w:type="dxa"/>
          </w:tblCellMar>
        </w:tblPrEx>
        <w:trPr>
          <w:trHeight w:val="1456" w:hRule="atLeast"/>
          <w:tblCellSpacing w:w="0" w:type="dxa"/>
        </w:trPr>
        <w:tc>
          <w:tcPr>
            <w:tcW w:w="1678"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琼台师范学院</w:t>
            </w:r>
          </w:p>
        </w:tc>
        <w:tc>
          <w:tcPr>
            <w:tcW w:w="236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琼台师范学院桂林洋校区（桂林洋）</w:t>
            </w:r>
          </w:p>
        </w:tc>
        <w:tc>
          <w:tcPr>
            <w:tcW w:w="1703"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65735002</w:t>
            </w:r>
          </w:p>
        </w:tc>
        <w:tc>
          <w:tcPr>
            <w:tcW w:w="2559" w:type="dxa"/>
            <w:shd w:val="clear"/>
            <w:vAlign w:val="center"/>
          </w:tcPr>
          <w:p>
            <w:pPr>
              <w:keepNext w:val="0"/>
              <w:keepLines w:val="0"/>
              <w:widowControl/>
              <w:suppressLineNumbers w:val="0"/>
              <w:jc w:val="left"/>
            </w:pPr>
            <w:r>
              <w:rPr>
                <w:rStyle w:val="3"/>
                <w:rFonts w:ascii="宋体" w:hAnsi="宋体" w:eastAsia="宋体" w:cs="宋体"/>
                <w:kern w:val="0"/>
                <w:sz w:val="21"/>
                <w:szCs w:val="21"/>
                <w:lang w:val="en-US" w:eastAsia="zh-CN" w:bidi="ar"/>
              </w:rPr>
              <w:t>只接受幼儿园、小学类别和中学语文（含初级、高级）科目的考生报考，不接受其它科目的考生报考。</w:t>
            </w:r>
          </w:p>
        </w:tc>
      </w:tr>
    </w:tbl>
    <w:p>
      <w:pPr>
        <w:keepNext w:val="0"/>
        <w:keepLines w:val="0"/>
        <w:widowControl/>
        <w:suppressLineNumbers w:val="0"/>
        <w:jc w:val="left"/>
      </w:pPr>
      <w:r>
        <w:rPr>
          <w:rStyle w:val="3"/>
          <w:rFonts w:ascii="宋体" w:hAnsi="宋体" w:eastAsia="宋体" w:cs="宋体"/>
          <w:kern w:val="0"/>
          <w:sz w:val="21"/>
          <w:szCs w:val="21"/>
          <w:lang w:val="en-US" w:eastAsia="zh-CN" w:bidi="ar"/>
        </w:rPr>
        <w:t>七、面试科目设置</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（一）幼儿园教师资格考试面试不分科目。</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（二）小学教师资格考试面试科目分为：语文、英语、社会、数学、科学、音乐、体育、美术，共8个学科。</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（三）初级中学教师资格考试面试科目分为：语文、数学、英语、物理、化学、生物、思想品德、历史、地理、音乐、体育与健康、美术、信息技术、历史与社会、科学，共15个学科。</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（四）高级中学教师资格考试面试科目分为：语文、数学、英语、物理、化学、生物、思想政治、历史、地理、音乐、体育与健康、美术、信息技术、通用技术，共14个学科。</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（五）中职文化课教师资格考试的面试科目同高中，中职专业课、中职实习指导教师资格考试的面试科目根据考生的专业选报相应的科目。</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八、面试形式与程序</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（一）面试形式</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中小学教师资格考试面试采取结构化面试、情境模拟等方式，通过备课（或活动设计）、试讲（或演示）、答辩（或陈述）等环节进行。</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（二）面试程序</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面试统一使用教育部考试中心研制的面试测评软件系统。考生经过候考、抽题、备课、回答规定问题、试讲（演示）、答辩等环节完成面试。原则上备课时间20分钟，面试时间20分钟。</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面试实施程序如下：</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第一步：候考。考生持面试准考证、身份证，按时到达考点，进入候考室候考。</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第二步：抽题。按考点安排，登录面试测评系统，计算机从题库中随机抽取试题（幼儿园类别考生从抽取的2道试题中任选1道，其余类别只抽取1道试题），考生确认后，计算机打印试题清单。</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第三步：备课。考生持试题清单进入备课室，领取备课纸，撰写教案（或活动演示活动方案），准备时间20分钟。</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第四步：回答规定问题。考生由工作人员引导进入指定面试室。考官从题库中随机抽取2个规定问题，要求考生回答。时间5分钟左右。报考中职专业课和实习指导老师的考生面试时，没有回答规定问题的步骤，其它步骤不变，面试时间20分钟。</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第五步：试讲/演示。考生按照准备的教案（或演示活动方案）进行试讲（或演示）。时间10分钟。</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第六步：答辩。考官围绕考生试讲（或演示）内容进行提问，考生答辩。时间5分钟左右。</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第七步：评分。考官依据评分标准对考生面试表现进行综合评分，通过面试测评软件系统提交评分。</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九、面试项目及分值</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中小学教师资格考试面试满分100分，各项目分值具体如下（中职教师面试分值同中学教师）：</w:t>
      </w:r>
    </w:p>
    <w:tbl>
      <w:tblPr>
        <w:tblpPr w:vertAnchor="text" w:tblpXSpec="left"/>
        <w:tblW w:w="8303" w:type="dxa"/>
        <w:tblCellSpacing w:w="0" w:type="dxa"/>
        <w:tblInd w:w="0" w:type="dxa"/>
        <w:shd w:val="clear"/>
        <w:tblLayout w:type="fixed"/>
        <w:tblCellMar>
          <w:top w:w="0" w:type="dxa"/>
          <w:left w:w="0" w:type="dxa"/>
          <w:bottom w:w="0" w:type="dxa"/>
          <w:right w:w="0" w:type="dxa"/>
        </w:tblCellMar>
      </w:tblPr>
      <w:tblGrid>
        <w:gridCol w:w="685"/>
        <w:gridCol w:w="1530"/>
        <w:gridCol w:w="924"/>
        <w:gridCol w:w="1291"/>
        <w:gridCol w:w="1291"/>
        <w:gridCol w:w="1291"/>
        <w:gridCol w:w="1291"/>
      </w:tblGrid>
      <w:tr>
        <w:tblPrEx>
          <w:shd w:val="clear"/>
          <w:tblLayout w:type="fixed"/>
          <w:tblCellMar>
            <w:top w:w="0" w:type="dxa"/>
            <w:left w:w="0" w:type="dxa"/>
            <w:bottom w:w="0" w:type="dxa"/>
            <w:right w:w="0" w:type="dxa"/>
          </w:tblCellMar>
        </w:tblPrEx>
        <w:trPr>
          <w:tblCellSpacing w:w="0" w:type="dxa"/>
        </w:trPr>
        <w:tc>
          <w:tcPr>
            <w:tcW w:w="685" w:type="dxa"/>
            <w:vMerge w:val="restart"/>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序号</w:t>
            </w:r>
          </w:p>
        </w:tc>
        <w:tc>
          <w:tcPr>
            <w:tcW w:w="2454" w:type="dxa"/>
            <w:gridSpan w:val="2"/>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幼儿园教师</w:t>
            </w:r>
          </w:p>
        </w:tc>
        <w:tc>
          <w:tcPr>
            <w:tcW w:w="2582" w:type="dxa"/>
            <w:gridSpan w:val="2"/>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小学教师</w:t>
            </w:r>
          </w:p>
        </w:tc>
        <w:tc>
          <w:tcPr>
            <w:tcW w:w="2582" w:type="dxa"/>
            <w:gridSpan w:val="2"/>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中学教师</w:t>
            </w:r>
          </w:p>
        </w:tc>
      </w:tr>
      <w:tr>
        <w:tblPrEx>
          <w:tblLayout w:type="fixed"/>
          <w:tblCellMar>
            <w:top w:w="0" w:type="dxa"/>
            <w:left w:w="0" w:type="dxa"/>
            <w:bottom w:w="0" w:type="dxa"/>
            <w:right w:w="0" w:type="dxa"/>
          </w:tblCellMar>
        </w:tblPrEx>
        <w:trPr>
          <w:tblCellSpacing w:w="0" w:type="dxa"/>
        </w:trPr>
        <w:tc>
          <w:tcPr>
            <w:tcW w:w="685" w:type="dxa"/>
            <w:vMerge w:val="continue"/>
            <w:shd w:val="clear"/>
            <w:vAlign w:val="center"/>
          </w:tcPr>
          <w:p>
            <w:pPr>
              <w:rPr>
                <w:rFonts w:hint="eastAsia" w:ascii="宋体"/>
                <w:sz w:val="24"/>
                <w:szCs w:val="24"/>
              </w:rPr>
            </w:pPr>
          </w:p>
        </w:tc>
        <w:tc>
          <w:tcPr>
            <w:tcW w:w="153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项目</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分值</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项目</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分值</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项目</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分值</w:t>
            </w:r>
          </w:p>
        </w:tc>
      </w:tr>
      <w:tr>
        <w:tblPrEx>
          <w:tblLayout w:type="fixed"/>
          <w:tblCellMar>
            <w:top w:w="0" w:type="dxa"/>
            <w:left w:w="0" w:type="dxa"/>
            <w:bottom w:w="0" w:type="dxa"/>
            <w:right w:w="0" w:type="dxa"/>
          </w:tblCellMar>
        </w:tblPrEx>
        <w:trPr>
          <w:tblCellSpacing w:w="0" w:type="dxa"/>
        </w:trPr>
        <w:tc>
          <w:tcPr>
            <w:tcW w:w="68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w:t>
            </w:r>
          </w:p>
        </w:tc>
        <w:tc>
          <w:tcPr>
            <w:tcW w:w="153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职业认识</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10</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职业认识</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5</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职业认识</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5</w:t>
            </w:r>
          </w:p>
        </w:tc>
      </w:tr>
      <w:tr>
        <w:tblPrEx>
          <w:tblLayout w:type="fixed"/>
          <w:tblCellMar>
            <w:top w:w="0" w:type="dxa"/>
            <w:left w:w="0" w:type="dxa"/>
            <w:bottom w:w="0" w:type="dxa"/>
            <w:right w:w="0" w:type="dxa"/>
          </w:tblCellMar>
        </w:tblPrEx>
        <w:trPr>
          <w:tblCellSpacing w:w="0" w:type="dxa"/>
        </w:trPr>
        <w:tc>
          <w:tcPr>
            <w:tcW w:w="68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w:t>
            </w:r>
          </w:p>
        </w:tc>
        <w:tc>
          <w:tcPr>
            <w:tcW w:w="153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心理素质</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10</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心理素质</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10</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心理素质</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5</w:t>
            </w:r>
          </w:p>
        </w:tc>
      </w:tr>
      <w:tr>
        <w:tblPrEx>
          <w:tblLayout w:type="fixed"/>
          <w:tblCellMar>
            <w:top w:w="0" w:type="dxa"/>
            <w:left w:w="0" w:type="dxa"/>
            <w:bottom w:w="0" w:type="dxa"/>
            <w:right w:w="0" w:type="dxa"/>
          </w:tblCellMar>
        </w:tblPrEx>
        <w:trPr>
          <w:tblCellSpacing w:w="0" w:type="dxa"/>
        </w:trPr>
        <w:tc>
          <w:tcPr>
            <w:tcW w:w="68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w:t>
            </w:r>
          </w:p>
        </w:tc>
        <w:tc>
          <w:tcPr>
            <w:tcW w:w="153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仪表仪态</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10</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仪表仪态</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10</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仪表仪态</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5</w:t>
            </w:r>
          </w:p>
        </w:tc>
      </w:tr>
      <w:tr>
        <w:tblPrEx>
          <w:tblLayout w:type="fixed"/>
          <w:tblCellMar>
            <w:top w:w="0" w:type="dxa"/>
            <w:left w:w="0" w:type="dxa"/>
            <w:bottom w:w="0" w:type="dxa"/>
            <w:right w:w="0" w:type="dxa"/>
          </w:tblCellMar>
        </w:tblPrEx>
        <w:trPr>
          <w:tblCellSpacing w:w="0" w:type="dxa"/>
        </w:trPr>
        <w:tc>
          <w:tcPr>
            <w:tcW w:w="68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w:t>
            </w:r>
          </w:p>
        </w:tc>
        <w:tc>
          <w:tcPr>
            <w:tcW w:w="153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交流沟通</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15</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言语表达</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15</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言语表达</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15</w:t>
            </w:r>
          </w:p>
        </w:tc>
      </w:tr>
      <w:tr>
        <w:tblPrEx>
          <w:tblLayout w:type="fixed"/>
          <w:tblCellMar>
            <w:top w:w="0" w:type="dxa"/>
            <w:left w:w="0" w:type="dxa"/>
            <w:bottom w:w="0" w:type="dxa"/>
            <w:right w:w="0" w:type="dxa"/>
          </w:tblCellMar>
        </w:tblPrEx>
        <w:trPr>
          <w:tblCellSpacing w:w="0" w:type="dxa"/>
        </w:trPr>
        <w:tc>
          <w:tcPr>
            <w:tcW w:w="68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5</w:t>
            </w:r>
          </w:p>
        </w:tc>
        <w:tc>
          <w:tcPr>
            <w:tcW w:w="153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思维品质</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15</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思维品质</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15</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思维品质</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15</w:t>
            </w:r>
          </w:p>
        </w:tc>
      </w:tr>
      <w:tr>
        <w:tblPrEx>
          <w:tblLayout w:type="fixed"/>
          <w:tblCellMar>
            <w:top w:w="0" w:type="dxa"/>
            <w:left w:w="0" w:type="dxa"/>
            <w:bottom w:w="0" w:type="dxa"/>
            <w:right w:w="0" w:type="dxa"/>
          </w:tblCellMar>
        </w:tblPrEx>
        <w:trPr>
          <w:tblCellSpacing w:w="0" w:type="dxa"/>
        </w:trPr>
        <w:tc>
          <w:tcPr>
            <w:tcW w:w="68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w:t>
            </w:r>
          </w:p>
        </w:tc>
        <w:tc>
          <w:tcPr>
            <w:tcW w:w="153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了解幼儿</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10</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教学设计</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10</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教学设计</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10</w:t>
            </w:r>
          </w:p>
        </w:tc>
      </w:tr>
      <w:tr>
        <w:tblPrEx>
          <w:tblLayout w:type="fixed"/>
          <w:tblCellMar>
            <w:top w:w="0" w:type="dxa"/>
            <w:left w:w="0" w:type="dxa"/>
            <w:bottom w:w="0" w:type="dxa"/>
            <w:right w:w="0" w:type="dxa"/>
          </w:tblCellMar>
        </w:tblPrEx>
        <w:trPr>
          <w:tblCellSpacing w:w="0" w:type="dxa"/>
        </w:trPr>
        <w:tc>
          <w:tcPr>
            <w:tcW w:w="68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7</w:t>
            </w:r>
          </w:p>
        </w:tc>
        <w:tc>
          <w:tcPr>
            <w:tcW w:w="153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技能技巧</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20</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教学实施</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25</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教学实施</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35</w:t>
            </w:r>
          </w:p>
        </w:tc>
      </w:tr>
      <w:tr>
        <w:tblPrEx>
          <w:tblLayout w:type="fixed"/>
          <w:tblCellMar>
            <w:top w:w="0" w:type="dxa"/>
            <w:left w:w="0" w:type="dxa"/>
            <w:bottom w:w="0" w:type="dxa"/>
            <w:right w:w="0" w:type="dxa"/>
          </w:tblCellMar>
        </w:tblPrEx>
        <w:trPr>
          <w:tblCellSpacing w:w="0" w:type="dxa"/>
        </w:trPr>
        <w:tc>
          <w:tcPr>
            <w:tcW w:w="68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8</w:t>
            </w:r>
          </w:p>
        </w:tc>
        <w:tc>
          <w:tcPr>
            <w:tcW w:w="153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评价与反思</w:t>
            </w:r>
          </w:p>
        </w:tc>
        <w:tc>
          <w:tcPr>
            <w:tcW w:w="924"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10</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教学评价</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10</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教学评价</w:t>
            </w:r>
          </w:p>
        </w:tc>
        <w:tc>
          <w:tcPr>
            <w:tcW w:w="1291"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10</w:t>
            </w:r>
          </w:p>
        </w:tc>
      </w:tr>
    </w:tbl>
    <w:p>
      <w:pPr>
        <w:keepNext w:val="0"/>
        <w:keepLines w:val="0"/>
        <w:widowControl/>
        <w:suppressLineNumbers w:val="0"/>
        <w:jc w:val="left"/>
      </w:pPr>
      <w:r>
        <w:rPr>
          <w:rFonts w:ascii="宋体" w:hAnsi="宋体" w:eastAsia="宋体" w:cs="宋体"/>
          <w:kern w:val="0"/>
          <w:sz w:val="21"/>
          <w:szCs w:val="21"/>
          <w:lang w:val="en-US" w:eastAsia="zh-CN" w:bidi="ar"/>
        </w:rPr>
        <w:t> </w:t>
      </w:r>
      <w:r>
        <w:rPr>
          <w:rStyle w:val="3"/>
          <w:rFonts w:ascii="宋体" w:hAnsi="宋体" w:eastAsia="宋体" w:cs="宋体"/>
          <w:kern w:val="0"/>
          <w:sz w:val="21"/>
          <w:szCs w:val="21"/>
          <w:lang w:val="en-US" w:eastAsia="zh-CN" w:bidi="ar"/>
        </w:rPr>
        <w:t xml:space="preserve">十、违规处理 </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中小学教师资格考试属于国家考试。在考试过程中，考生如有违反考试管理规定的行为，将严格按照《国家教育考试违规处理办法》（中华人民共和国教育部令第33号）处理（附件3），触犯刑法的将依法惩处。</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十一、成绩查询</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2016年下半年中小学教师资格考试面试成绩将于2017年2月21日公布，面试成绩只公布考生等级成绩（合格或不合格），考生自行登录教育部中小学教师资格考试网（  http://www.ntce.cn ）输入本人姓名和身份证号码即可查询本人2016年上半年中小学教师资格考试面试成绩。</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十二、获取合格证明</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取得中小学教师资格考试合格成绩者（笔试和面试均合格）可获得中小学教师资格考试合格证明。根据教育部考试中心通知要求，中小学教师资格考试合格证明不再统一发放纸质考试合格证明，合格考生直接通过教育部考试中心网站查询、打印考试合格证明，提供给中小学教师资格认定部门使用。笔试单科合格成绩有效期为2年。《中小学教师资格考试合格证明》是考生认定教师资格的必备条件。中小学教师资格考试合格证明有效期为3年。</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十三、咨询</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有关面试问题，可咨询省考试局，咨询电话：65851886；有关政策问题，可咨询省教育厅师资管理处，咨询电话：65236870；有关中小学教师资格认定问题，可咨询省教育厅行政审批办，咨询电话：65203038。</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为确保考生顺利参加面试，请注意省考试局网站（</w:t>
      </w:r>
      <w:r>
        <w:rPr>
          <w:rFonts w:ascii="宋体" w:hAnsi="宋体" w:eastAsia="宋体" w:cs="宋体"/>
          <w:kern w:val="0"/>
          <w:sz w:val="21"/>
          <w:szCs w:val="21"/>
          <w:lang w:val="en-US" w:eastAsia="zh-CN" w:bidi="ar"/>
        </w:rPr>
        <w:fldChar w:fldCharType="begin"/>
      </w:r>
      <w:r>
        <w:rPr>
          <w:rFonts w:ascii="宋体" w:hAnsi="宋体" w:eastAsia="宋体" w:cs="宋体"/>
          <w:kern w:val="0"/>
          <w:sz w:val="21"/>
          <w:szCs w:val="21"/>
          <w:lang w:val="en-US" w:eastAsia="zh-CN" w:bidi="ar"/>
        </w:rPr>
        <w:instrText xml:space="preserve"> HYPERLINK "http://ea.hainan.gov.cn/" </w:instrText>
      </w:r>
      <w:r>
        <w:rPr>
          <w:rFonts w:ascii="宋体" w:hAnsi="宋体" w:eastAsia="宋体" w:cs="宋体"/>
          <w:kern w:val="0"/>
          <w:sz w:val="21"/>
          <w:szCs w:val="21"/>
          <w:lang w:val="en-US" w:eastAsia="zh-CN" w:bidi="ar"/>
        </w:rPr>
        <w:fldChar w:fldCharType="separate"/>
      </w:r>
      <w:r>
        <w:rPr>
          <w:rStyle w:val="4"/>
          <w:rFonts w:ascii="宋体" w:hAnsi="宋体" w:eastAsia="宋体" w:cs="宋体"/>
          <w:sz w:val="21"/>
          <w:szCs w:val="21"/>
        </w:rPr>
        <w:t>http://ea.hainan.gov.cn/</w:t>
      </w:r>
      <w:r>
        <w:rPr>
          <w:rFonts w:ascii="宋体" w:hAnsi="宋体" w:eastAsia="宋体" w:cs="宋体"/>
          <w:kern w:val="0"/>
          <w:sz w:val="21"/>
          <w:szCs w:val="21"/>
          <w:lang w:val="en-US" w:eastAsia="zh-CN" w:bidi="ar"/>
        </w:rPr>
        <w:fldChar w:fldCharType="end"/>
      </w:r>
      <w:r>
        <w:rPr>
          <w:rFonts w:ascii="宋体" w:hAnsi="宋体" w:eastAsia="宋体" w:cs="宋体"/>
          <w:kern w:val="0"/>
          <w:sz w:val="21"/>
          <w:szCs w:val="21"/>
          <w:lang w:val="en-US" w:eastAsia="zh-CN" w:bidi="ar"/>
        </w:rPr>
        <w:t>）发布的相关信息。</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w:t>
      </w:r>
      <w:r>
        <w:rPr>
          <w:rFonts w:ascii="宋体" w:hAnsi="宋体" w:eastAsia="宋体" w:cs="宋体"/>
          <w:kern w:val="0"/>
          <w:sz w:val="24"/>
          <w:szCs w:val="24"/>
          <w:lang w:val="en-US" w:eastAsia="zh-CN" w:bidi="ar"/>
        </w:rPr>
        <w:t xml:space="preserve"> </w:t>
      </w:r>
    </w:p>
    <w:p>
      <w:pPr>
        <w:keepNext w:val="0"/>
        <w:keepLines w:val="0"/>
        <w:widowControl/>
        <w:suppressLineNumbers w:val="0"/>
        <w:jc w:val="right"/>
      </w:pPr>
      <w:r>
        <w:rPr>
          <w:rFonts w:ascii="宋体" w:hAnsi="宋体" w:eastAsia="宋体" w:cs="宋体"/>
          <w:kern w:val="0"/>
          <w:sz w:val="21"/>
          <w:szCs w:val="21"/>
          <w:lang w:val="en-US" w:eastAsia="zh-CN" w:bidi="ar"/>
        </w:rPr>
        <w:t>　　　　　　　　　　　　　　　　　                   海南省考试局</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2016年12月12日  </w:t>
      </w:r>
    </w:p>
    <w:p>
      <w:pPr>
        <w:keepNext w:val="0"/>
        <w:keepLines w:val="0"/>
        <w:widowControl/>
        <w:suppressLineNumbers w:val="0"/>
        <w:jc w:val="left"/>
      </w:pPr>
      <w:r>
        <w:rPr>
          <w:rFonts w:ascii="宋体" w:hAnsi="宋体" w:eastAsia="宋体" w:cs="宋体"/>
          <w:kern w:val="0"/>
          <w:sz w:val="21"/>
          <w:szCs w:val="21"/>
          <w:lang w:val="en-US" w:eastAsia="zh-CN" w:bidi="ar"/>
        </w:rPr>
        <w:t> </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附件1</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中小学教师资格考试报名网上支付银行列表</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w:t>
      </w:r>
    </w:p>
    <w:tbl>
      <w:tblPr>
        <w:tblW w:w="8305" w:type="dxa"/>
        <w:tblCellSpacing w:w="0" w:type="dxa"/>
        <w:tblInd w:w="0" w:type="dxa"/>
        <w:shd w:val="clear"/>
        <w:tblLayout w:type="fixed"/>
        <w:tblCellMar>
          <w:top w:w="0" w:type="dxa"/>
          <w:left w:w="0" w:type="dxa"/>
          <w:bottom w:w="0" w:type="dxa"/>
          <w:right w:w="0" w:type="dxa"/>
        </w:tblCellMar>
      </w:tblPr>
      <w:tblGrid>
        <w:gridCol w:w="1590"/>
        <w:gridCol w:w="6715"/>
      </w:tblGrid>
      <w:tr>
        <w:tblPrEx>
          <w:shd w:val="clear"/>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Style w:val="3"/>
                <w:rFonts w:ascii="宋体" w:hAnsi="宋体" w:eastAsia="宋体" w:cs="宋体"/>
                <w:kern w:val="0"/>
                <w:sz w:val="21"/>
                <w:szCs w:val="21"/>
                <w:lang w:val="en-US" w:eastAsia="zh-CN" w:bidi="ar"/>
              </w:rPr>
              <w:t>序号</w:t>
            </w:r>
          </w:p>
        </w:tc>
        <w:tc>
          <w:tcPr>
            <w:tcW w:w="6715" w:type="dxa"/>
            <w:shd w:val="clear"/>
            <w:vAlign w:val="center"/>
          </w:tcPr>
          <w:p>
            <w:pPr>
              <w:keepNext w:val="0"/>
              <w:keepLines w:val="0"/>
              <w:widowControl/>
              <w:suppressLineNumbers w:val="0"/>
              <w:jc w:val="left"/>
            </w:pPr>
            <w:r>
              <w:rPr>
                <w:rStyle w:val="3"/>
                <w:rFonts w:ascii="宋体" w:hAnsi="宋体" w:eastAsia="宋体" w:cs="宋体"/>
                <w:kern w:val="0"/>
                <w:sz w:val="21"/>
                <w:szCs w:val="21"/>
                <w:lang w:val="en-US" w:eastAsia="zh-CN" w:bidi="ar"/>
              </w:rPr>
              <w:t>名称</w:t>
            </w:r>
          </w:p>
        </w:tc>
      </w:tr>
      <w:tr>
        <w:tblPrEx>
          <w:tblLayout w:type="fixed"/>
          <w:tblCellMar>
            <w:top w:w="0" w:type="dxa"/>
            <w:left w:w="0" w:type="dxa"/>
            <w:bottom w:w="0" w:type="dxa"/>
            <w:right w:w="0" w:type="dxa"/>
          </w:tblCellMar>
        </w:tblPrEx>
        <w:trPr>
          <w:trHeight w:val="450" w:hRule="atLeast"/>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招商银行</w:t>
            </w:r>
          </w:p>
        </w:tc>
      </w:tr>
      <w:tr>
        <w:tblPrEx>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建设银行</w:t>
            </w:r>
          </w:p>
        </w:tc>
      </w:tr>
      <w:tr>
        <w:tblPrEx>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3</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工商银行</w:t>
            </w:r>
          </w:p>
        </w:tc>
      </w:tr>
      <w:tr>
        <w:tblPrEx>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4</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平安银行</w:t>
            </w:r>
          </w:p>
        </w:tc>
      </w:tr>
      <w:tr>
        <w:tblPrEx>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5</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民生银行</w:t>
            </w:r>
          </w:p>
        </w:tc>
      </w:tr>
      <w:tr>
        <w:tblPrEx>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6</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兴业银行</w:t>
            </w:r>
          </w:p>
        </w:tc>
      </w:tr>
      <w:tr>
        <w:tblPrEx>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7</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农业银行</w:t>
            </w:r>
          </w:p>
        </w:tc>
      </w:tr>
      <w:tr>
        <w:tblPrEx>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8</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广东发展银行</w:t>
            </w:r>
          </w:p>
        </w:tc>
      </w:tr>
      <w:tr>
        <w:tblPrEx>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9</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北京银行</w:t>
            </w:r>
          </w:p>
        </w:tc>
      </w:tr>
      <w:tr>
        <w:tblPrEx>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10</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邮政银行</w:t>
            </w:r>
          </w:p>
        </w:tc>
      </w:tr>
      <w:tr>
        <w:tblPrEx>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11</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华夏银行</w:t>
            </w:r>
          </w:p>
        </w:tc>
      </w:tr>
      <w:tr>
        <w:tblPrEx>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12</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交通银行</w:t>
            </w:r>
          </w:p>
        </w:tc>
      </w:tr>
      <w:tr>
        <w:tblPrEx>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13</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浦发银行</w:t>
            </w:r>
          </w:p>
        </w:tc>
      </w:tr>
      <w:tr>
        <w:tblPrEx>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14</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光大银行</w:t>
            </w:r>
          </w:p>
        </w:tc>
      </w:tr>
      <w:tr>
        <w:tblPrEx>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15</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北京农村商业银行</w:t>
            </w:r>
          </w:p>
        </w:tc>
      </w:tr>
      <w:tr>
        <w:tblPrEx>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16</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渤海银行</w:t>
            </w:r>
          </w:p>
        </w:tc>
      </w:tr>
      <w:tr>
        <w:tblPrEx>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17</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中信银行</w:t>
            </w:r>
          </w:p>
        </w:tc>
      </w:tr>
      <w:tr>
        <w:tblPrEx>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18</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中国银行</w:t>
            </w:r>
          </w:p>
        </w:tc>
      </w:tr>
      <w:tr>
        <w:tblPrEx>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19</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上海银行</w:t>
            </w:r>
          </w:p>
        </w:tc>
      </w:tr>
      <w:tr>
        <w:tblPrEx>
          <w:tblLayout w:type="fixed"/>
          <w:tblCellMar>
            <w:top w:w="0" w:type="dxa"/>
            <w:left w:w="0" w:type="dxa"/>
            <w:bottom w:w="0" w:type="dxa"/>
            <w:right w:w="0" w:type="dxa"/>
          </w:tblCellMar>
        </w:tblPrEx>
        <w:trPr>
          <w:tblCellSpacing w:w="0" w:type="dxa"/>
        </w:trPr>
        <w:tc>
          <w:tcPr>
            <w:tcW w:w="1590"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20</w:t>
            </w:r>
          </w:p>
        </w:tc>
        <w:tc>
          <w:tcPr>
            <w:tcW w:w="6715" w:type="dxa"/>
            <w:shd w:val="clear"/>
            <w:vAlign w:val="center"/>
          </w:tcPr>
          <w:p>
            <w:pPr>
              <w:keepNext w:val="0"/>
              <w:keepLines w:val="0"/>
              <w:widowControl/>
              <w:suppressLineNumbers w:val="0"/>
              <w:jc w:val="left"/>
            </w:pPr>
            <w:r>
              <w:rPr>
                <w:rFonts w:ascii="宋体" w:hAnsi="宋体" w:eastAsia="宋体" w:cs="宋体"/>
                <w:kern w:val="0"/>
                <w:sz w:val="21"/>
                <w:szCs w:val="21"/>
                <w:lang w:val="en-US" w:eastAsia="zh-CN" w:bidi="ar"/>
              </w:rPr>
              <w:t>银联支付</w:t>
            </w:r>
          </w:p>
        </w:tc>
      </w:tr>
    </w:tbl>
    <w:p>
      <w:pPr>
        <w:keepNext w:val="0"/>
        <w:keepLines w:val="0"/>
        <w:widowControl/>
        <w:suppressLineNumbers w:val="0"/>
        <w:jc w:val="left"/>
      </w:pPr>
      <w:r>
        <w:rPr>
          <w:rFonts w:ascii="宋体" w:hAnsi="宋体" w:eastAsia="宋体" w:cs="宋体"/>
          <w:kern w:val="0"/>
          <w:sz w:val="21"/>
          <w:szCs w:val="21"/>
          <w:lang w:val="en-US" w:eastAsia="zh-CN" w:bidi="ar"/>
        </w:rPr>
        <w:t> </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附件2</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面试考生守则</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一、考生必须按照准考证上的时间参加考试，入场时须主动出示《准考证》及身份证，接受考试工作人员的核验。</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二、考生应在规定时间进入候考室。截止进入候考室时间15分钟后，迟到的考生禁止进入候考室，面试成绩按缺考处置。</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三、考生要携带必要的文具（签字笔等）进入候考室。考生禁止携带各种无线通信工具、个人电脑等参加考试。</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四、考生进入候考室后，要遵守秩序，保持安静。</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五、考生在监考员点名后应迅速前往面试考场。</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六、备课时，应将本人准考证、身份证放在课桌上，以便监考员核验。</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七、面试结束后，考生应将试题清单和备课纸上缴面试考官，领取“出场证”离开面试考场，不得向面试考官询问面试结果和分数，不得在考场附近大声喧哗。</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八、考生必须严格遵守考场纪律，对于违反考场规定、不服从监考人员管理和舞弊者，按违反考场管理规定处理。</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九、考生应自觉服从监考员管理，不得以任何理由妨碍监考员进行正常工作。对扰乱考点秩序、恐吓、威胁监考员的考生将按照《国家教育考试违规处理办法》（33号令）处理，并记入考试诚信档案系统，触犯刑律将移交公安机关处理。</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附件3</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国家教育考试违规处理办法（节选）</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第五条</w:t>
      </w:r>
      <w:r>
        <w:rPr>
          <w:rFonts w:ascii="宋体" w:hAnsi="宋体" w:eastAsia="宋体" w:cs="宋体"/>
          <w:kern w:val="0"/>
          <w:sz w:val="21"/>
          <w:szCs w:val="21"/>
          <w:lang w:val="en-US" w:eastAsia="zh-CN" w:bidi="ar"/>
        </w:rPr>
        <w:t>  考生不遵守考场纪律，不服从考试工作人员的安排与要求，有下列行为之一的，应当认定为考试违纪：</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（一）携带规定以外的物品进入考场或者未放在指定位置的；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（二）未在规定的座位参加考试的；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（三）考试开始信号发出前答题或者考试结束信号发出后继续答题的；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（四）在考试过程中旁窥、交头接耳、互打暗号或者手势的；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（五）在考场或者教育考试机构禁止的范围内，喧哗、吸烟或者实施其他影响考场秩序的行为的；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（六）未经考试工作人员同意在考试过程中擅自离开考场的；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（七）将试卷、答卷（含答题卡、答题纸等，下同）、草稿纸等考试用纸带出考场的；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（八）用规定以外的笔或者纸答题或者在试卷规定以外的地方书写姓名、考号或者以其他方式在答卷上标记信息的；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（九）其他违反考场规则但尚未构成作弊的行为。</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 xml:space="preserve">第六条 </w:t>
      </w:r>
      <w:r>
        <w:rPr>
          <w:rFonts w:ascii="宋体" w:hAnsi="宋体" w:eastAsia="宋体" w:cs="宋体"/>
          <w:kern w:val="0"/>
          <w:sz w:val="21"/>
          <w:szCs w:val="21"/>
          <w:lang w:val="en-US" w:eastAsia="zh-CN" w:bidi="ar"/>
        </w:rPr>
        <w:t>考生违背考试公平、公正原则，在考试过程中有下列行为之一的，应当认定为考试作弊：</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（一）携带与考试内容相关的材料或者存储有与考试内容相关资料的电子设备参加考试的；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（二）抄袭或者协助他人抄袭试题答案或者与考试内容相关的资料的；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（三）胁迫他人为自己抄袭提供方便的；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（四）携带具有发送或者接收信息功能的设备的；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（五）由他人冒名代替参加考试的；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（六）故意销毁试卷、答卷或者考试材料的；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（七）在答卷上填写与本人身份不符的姓名、考号等信息的；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（八）传、接物品或者交换试卷、答卷、草稿纸的；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（九）其他以不正当手段获得或者试图获得试题答案、考试成绩的行为。</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第七条</w:t>
      </w:r>
      <w:r>
        <w:rPr>
          <w:rFonts w:ascii="宋体" w:hAnsi="宋体" w:eastAsia="宋体" w:cs="宋体"/>
          <w:kern w:val="0"/>
          <w:sz w:val="21"/>
          <w:szCs w:val="21"/>
          <w:lang w:val="en-US" w:eastAsia="zh-CN" w:bidi="ar"/>
        </w:rPr>
        <w:t>  教育考试机构、考试工作人员在考试过程中或者在考试结束后发现下列行为之一的，应当认定相关的考生实施了考试作弊行为：</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（一）通过伪造证件、证明、档案及其他材料获得考试资格、加分资格和考试成绩的；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（二）评卷过程中被认定为答案雷同的；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（三）考场纪律混乱、考试秩序失控，出现大面积考试作弊现象的；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（四）考试工作人员协助实施作弊行为，事后查实的；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（五）其他应认定为作弊的行为。</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第八条</w:t>
      </w:r>
      <w:r>
        <w:rPr>
          <w:rFonts w:ascii="宋体" w:hAnsi="宋体" w:eastAsia="宋体" w:cs="宋体"/>
          <w:kern w:val="0"/>
          <w:sz w:val="21"/>
          <w:szCs w:val="21"/>
          <w:lang w:val="en-US" w:eastAsia="zh-CN" w:bidi="ar"/>
        </w:rPr>
        <w:t>  考生及其他人员应当自觉维护考试工作场所的秩序，服从考试工作人员的管理，不得有下列扰乱考场及考试工作场所秩序的行为：</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（一）故意扰乱考点、考场、评卷场所等考试工作场所秩序；</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（二）拒绝、妨碍考试工作人员履行管理职责；</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（三）威胁、侮辱、诽谤、诬陷或者以其他方式侵害考试工作人员、其他考生合法权益的行为；</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（四）故意损坏考场设施设备；</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（五）其他扰乱考试管理秩序的行为。</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第九条</w:t>
      </w:r>
      <w:r>
        <w:rPr>
          <w:rFonts w:ascii="宋体" w:hAnsi="宋体" w:eastAsia="宋体" w:cs="宋体"/>
          <w:kern w:val="0"/>
          <w:sz w:val="21"/>
          <w:szCs w:val="21"/>
          <w:lang w:val="en-US" w:eastAsia="zh-CN" w:bidi="ar"/>
        </w:rPr>
        <w:t xml:space="preserve"> 考生有第五条所列考试违纪行为之一的，取消该科目的考试成绩。</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考生有第六条、第七条所列考试作弊行为之一的，其所报名参加考试的各科、各阶段成绩无效；参加高等教育自学考试的，当次考试成绩各科成绩无效。</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有下列情形之一的，可以视情节轻重，同时给予暂停参加该项考试1至3年的处理；情节特别严重的，可以同时给予暂停参加各种国家教育考试1至3年的处理：</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（一）组织团伙作弊的；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（二）向考场外发送、传递试题信息的；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（三）使用相关设备接收信息实施作弊的；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（四）伪造、变造身份证、准考证及其他证明材料，由他人代替或者代替考生参加考试的。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参加高等教育自学考试的考生有前款严重作弊行为的，也可以给予延迟毕业时间1至3年的处理，延迟期间考试成绩无效。</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第十条</w:t>
      </w:r>
      <w:r>
        <w:rPr>
          <w:rFonts w:ascii="宋体" w:hAnsi="宋体" w:eastAsia="宋体" w:cs="宋体"/>
          <w:kern w:val="0"/>
          <w:sz w:val="21"/>
          <w:szCs w:val="21"/>
          <w:lang w:val="en-US" w:eastAsia="zh-CN" w:bidi="ar"/>
        </w:rPr>
        <w:t>  考生有第八条所列行为之一的，应当终止其继续参加本科目考试，其当次报名参加考试的各科成绩无效；考生及其他人员的行为违反《中华人民共和国治安管理处罚法》的，由公安机关进行处理；构成犯罪的，由司法机关依法处理追究刑事责任。</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第十一条</w:t>
      </w:r>
      <w:r>
        <w:rPr>
          <w:rFonts w:ascii="宋体" w:hAnsi="宋体" w:eastAsia="宋体" w:cs="宋体"/>
          <w:kern w:val="0"/>
          <w:sz w:val="21"/>
          <w:szCs w:val="21"/>
          <w:lang w:val="en-US" w:eastAsia="zh-CN" w:bidi="ar"/>
        </w:rPr>
        <w:t>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r>
        <w:rPr>
          <w:rFonts w:ascii="宋体" w:hAnsi="宋体" w:eastAsia="宋体" w:cs="宋体"/>
          <w:kern w:val="0"/>
          <w:sz w:val="21"/>
          <w:szCs w:val="21"/>
          <w:lang w:val="en-US" w:eastAsia="zh-CN" w:bidi="ar"/>
        </w:rPr>
        <w:br w:type="textWrapping"/>
      </w:r>
      <w:r>
        <w:rPr>
          <w:rStyle w:val="3"/>
          <w:rFonts w:ascii="宋体" w:hAnsi="宋体" w:eastAsia="宋体" w:cs="宋体"/>
          <w:kern w:val="0"/>
          <w:sz w:val="21"/>
          <w:szCs w:val="21"/>
          <w:lang w:val="en-US" w:eastAsia="zh-CN" w:bidi="ar"/>
        </w:rPr>
        <w:t>第十二条</w:t>
      </w:r>
      <w:r>
        <w:rPr>
          <w:rFonts w:ascii="宋体" w:hAnsi="宋体" w:eastAsia="宋体" w:cs="宋体"/>
          <w:kern w:val="0"/>
          <w:sz w:val="21"/>
          <w:szCs w:val="21"/>
          <w:lang w:val="en-US" w:eastAsia="zh-CN" w:bidi="ar"/>
        </w:rPr>
        <w:t>  在校学生、在职教师有下列情形之一的，教育考试机构应当通报其所在学校，由学校根据有关规定严肃处理，直至开除学籍或者予以解聘：</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（一）代替考生或者由他人代替参加考试的；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（二）组织团伙作弊的；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（三）为作弊组织者提供试题信息、答案及相应设备等参与团伙作弊行为的。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76F68"/>
    <w:rsid w:val="12676F68"/>
    <w:rsid w:val="61E75A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2016-12-13T01:19:00Z</dcterms:created>
  <dc:creator>Administrator</dc:creator>
  <cp:lastModifiedBy>Administrator</cp:lastModifiedBy>
  <dcterms:modified xsi:type="dcterms:W3CDTF">2016-12-13T01:20:00Z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