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方正仿宋简体" w:hAnsi="宋体" w:eastAsia="方正仿宋简体" w:cs="宋体"/>
          <w:kern w:val="0"/>
          <w:sz w:val="28"/>
          <w:szCs w:val="28"/>
        </w:rPr>
      </w:pPr>
      <w:r>
        <w:rPr>
          <w:rFonts w:hint="eastAsia" w:ascii="方正仿宋简体" w:hAnsi="宋体" w:eastAsia="方正仿宋简体" w:cs="宋体"/>
          <w:kern w:val="0"/>
          <w:sz w:val="28"/>
          <w:szCs w:val="28"/>
        </w:rPr>
        <w:t>附件1</w:t>
      </w:r>
    </w:p>
    <w:p>
      <w:pPr>
        <w:widowControl/>
        <w:ind w:firstLine="723" w:firstLineChars="200"/>
        <w:jc w:val="center"/>
        <w:rPr>
          <w:rFonts w:hint="eastAsia" w:ascii="黑体" w:eastAsia="黑体"/>
          <w:sz w:val="32"/>
          <w:szCs w:val="32"/>
        </w:rPr>
      </w:pPr>
      <w:r>
        <w:rPr>
          <w:rFonts w:hint="eastAsia" w:ascii="方正小标宋_GBK" w:eastAsia="方正小标宋_GBK"/>
          <w:b/>
          <w:bCs/>
          <w:sz w:val="36"/>
          <w:szCs w:val="36"/>
        </w:rPr>
        <w:t>秀山自治县2016年考核招聘教育专业技术人员岗位设置一览表</w:t>
      </w:r>
    </w:p>
    <w:tbl>
      <w:tblPr>
        <w:tblStyle w:val="6"/>
        <w:tblW w:w="15128" w:type="dxa"/>
        <w:jc w:val="center"/>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57"/>
        <w:gridCol w:w="708"/>
        <w:gridCol w:w="1276"/>
        <w:gridCol w:w="1559"/>
        <w:gridCol w:w="1276"/>
        <w:gridCol w:w="1154"/>
        <w:gridCol w:w="3358"/>
        <w:gridCol w:w="3001"/>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852" w:type="dxa"/>
            <w:vMerge w:val="restart"/>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主管  部门</w:t>
            </w:r>
          </w:p>
        </w:tc>
        <w:tc>
          <w:tcPr>
            <w:tcW w:w="1157" w:type="dxa"/>
            <w:vMerge w:val="restart"/>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单位</w:t>
            </w:r>
          </w:p>
        </w:tc>
        <w:tc>
          <w:tcPr>
            <w:tcW w:w="708" w:type="dxa"/>
            <w:vMerge w:val="restart"/>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招聘名额</w:t>
            </w:r>
          </w:p>
        </w:tc>
        <w:tc>
          <w:tcPr>
            <w:tcW w:w="1276" w:type="dxa"/>
            <w:vMerge w:val="restart"/>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业务能力操作比例</w:t>
            </w:r>
          </w:p>
        </w:tc>
        <w:tc>
          <w:tcPr>
            <w:tcW w:w="1559" w:type="dxa"/>
            <w:vMerge w:val="restart"/>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岗位名称</w:t>
            </w:r>
          </w:p>
        </w:tc>
        <w:tc>
          <w:tcPr>
            <w:tcW w:w="1276" w:type="dxa"/>
            <w:vMerge w:val="restart"/>
            <w:shd w:val="clear" w:color="auto" w:fill="auto"/>
            <w:vAlign w:val="top"/>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岗位类别及等级</w:t>
            </w:r>
          </w:p>
        </w:tc>
        <w:tc>
          <w:tcPr>
            <w:tcW w:w="7513" w:type="dxa"/>
            <w:gridSpan w:val="3"/>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岗位要求</w:t>
            </w:r>
          </w:p>
        </w:tc>
        <w:tc>
          <w:tcPr>
            <w:tcW w:w="787" w:type="dxa"/>
            <w:vMerge w:val="restart"/>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 xml:space="preserve">考核方式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852" w:type="dxa"/>
            <w:vMerge w:val="continue"/>
            <w:shd w:val="clear" w:color="auto" w:fill="auto"/>
            <w:vAlign w:val="center"/>
          </w:tcPr>
          <w:p>
            <w:pPr>
              <w:widowControl/>
              <w:jc w:val="center"/>
              <w:rPr>
                <w:rFonts w:ascii="方正仿宋_GBK" w:hAnsi="宋体" w:eastAsia="方正仿宋_GBK" w:cs="宋体"/>
                <w:b/>
                <w:bCs/>
                <w:kern w:val="0"/>
                <w:sz w:val="24"/>
              </w:rPr>
            </w:pPr>
          </w:p>
        </w:tc>
        <w:tc>
          <w:tcPr>
            <w:tcW w:w="1157" w:type="dxa"/>
            <w:vMerge w:val="continue"/>
            <w:shd w:val="clear" w:color="auto" w:fill="auto"/>
            <w:vAlign w:val="center"/>
          </w:tcPr>
          <w:p>
            <w:pPr>
              <w:widowControl/>
              <w:jc w:val="left"/>
              <w:rPr>
                <w:rFonts w:ascii="方正仿宋_GBK" w:hAnsi="宋体" w:eastAsia="方正仿宋_GBK" w:cs="宋体"/>
                <w:b/>
                <w:bCs/>
                <w:kern w:val="0"/>
                <w:sz w:val="24"/>
              </w:rPr>
            </w:pPr>
          </w:p>
        </w:tc>
        <w:tc>
          <w:tcPr>
            <w:tcW w:w="708" w:type="dxa"/>
            <w:vMerge w:val="continue"/>
            <w:shd w:val="clear" w:color="auto" w:fill="auto"/>
            <w:vAlign w:val="center"/>
          </w:tcPr>
          <w:p>
            <w:pPr>
              <w:widowControl/>
              <w:jc w:val="left"/>
              <w:rPr>
                <w:rFonts w:ascii="方正仿宋_GBK" w:hAnsi="宋体" w:eastAsia="方正仿宋_GBK" w:cs="宋体"/>
                <w:b/>
                <w:bCs/>
                <w:kern w:val="0"/>
                <w:sz w:val="24"/>
              </w:rPr>
            </w:pPr>
          </w:p>
        </w:tc>
        <w:tc>
          <w:tcPr>
            <w:tcW w:w="1276" w:type="dxa"/>
            <w:vMerge w:val="continue"/>
            <w:shd w:val="clear" w:color="auto" w:fill="auto"/>
            <w:vAlign w:val="top"/>
          </w:tcPr>
          <w:p>
            <w:pPr>
              <w:widowControl/>
              <w:jc w:val="left"/>
              <w:rPr>
                <w:rFonts w:ascii="方正仿宋_GBK" w:hAnsi="宋体" w:eastAsia="方正仿宋_GBK" w:cs="宋体"/>
                <w:b/>
                <w:bCs/>
                <w:kern w:val="0"/>
                <w:sz w:val="24"/>
              </w:rPr>
            </w:pPr>
          </w:p>
        </w:tc>
        <w:tc>
          <w:tcPr>
            <w:tcW w:w="1559" w:type="dxa"/>
            <w:vMerge w:val="continue"/>
            <w:shd w:val="clear" w:color="auto" w:fill="auto"/>
            <w:vAlign w:val="center"/>
          </w:tcPr>
          <w:p>
            <w:pPr>
              <w:widowControl/>
              <w:jc w:val="left"/>
              <w:rPr>
                <w:rFonts w:ascii="方正仿宋_GBK" w:hAnsi="宋体" w:eastAsia="方正仿宋_GBK" w:cs="宋体"/>
                <w:b/>
                <w:bCs/>
                <w:kern w:val="0"/>
                <w:sz w:val="24"/>
              </w:rPr>
            </w:pPr>
          </w:p>
        </w:tc>
        <w:tc>
          <w:tcPr>
            <w:tcW w:w="1276" w:type="dxa"/>
            <w:vMerge w:val="continue"/>
            <w:shd w:val="clear" w:color="auto" w:fill="auto"/>
            <w:vAlign w:val="top"/>
          </w:tcPr>
          <w:p>
            <w:pPr>
              <w:widowControl/>
              <w:jc w:val="left"/>
              <w:rPr>
                <w:rFonts w:ascii="宋体" w:hAnsi="宋体" w:cs="宋体"/>
                <w:b/>
                <w:bCs/>
                <w:kern w:val="0"/>
                <w:sz w:val="20"/>
                <w:szCs w:val="20"/>
              </w:rPr>
            </w:pPr>
          </w:p>
        </w:tc>
        <w:tc>
          <w:tcPr>
            <w:tcW w:w="1154" w:type="dxa"/>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学历</w:t>
            </w:r>
          </w:p>
        </w:tc>
        <w:tc>
          <w:tcPr>
            <w:tcW w:w="3358" w:type="dxa"/>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专业</w:t>
            </w:r>
          </w:p>
        </w:tc>
        <w:tc>
          <w:tcPr>
            <w:tcW w:w="3001" w:type="dxa"/>
            <w:shd w:val="clear" w:color="auto" w:fill="auto"/>
            <w:vAlign w:val="center"/>
          </w:tcPr>
          <w:p>
            <w:pPr>
              <w:widowControl/>
              <w:jc w:val="center"/>
              <w:rPr>
                <w:rFonts w:hint="eastAsia" w:ascii="方正黑体_GBK" w:hAnsi="宋体" w:eastAsia="方正黑体_GBK" w:cs="宋体"/>
                <w:b/>
                <w:bCs/>
                <w:kern w:val="0"/>
                <w:sz w:val="24"/>
              </w:rPr>
            </w:pPr>
            <w:r>
              <w:rPr>
                <w:rFonts w:hint="eastAsia" w:ascii="方正黑体_GBK" w:hAnsi="宋体" w:eastAsia="方正黑体_GBK" w:cs="宋体"/>
                <w:b/>
                <w:bCs/>
                <w:kern w:val="0"/>
                <w:sz w:val="24"/>
              </w:rPr>
              <w:t>其他</w:t>
            </w:r>
          </w:p>
        </w:tc>
        <w:tc>
          <w:tcPr>
            <w:tcW w:w="787" w:type="dxa"/>
            <w:vMerge w:val="continue"/>
            <w:vAlign w:val="center"/>
          </w:tcPr>
          <w:p>
            <w:pPr>
              <w:widowControl/>
              <w:jc w:val="left"/>
              <w:rPr>
                <w:rFonts w:ascii="方正仿宋_GBK" w:hAnsi="宋体" w:eastAsia="方正仿宋_GBK"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852" w:type="dxa"/>
            <w:vMerge w:val="restart"/>
            <w:shd w:val="clear" w:color="auto" w:fill="auto"/>
            <w:vAlign w:val="center"/>
          </w:tcPr>
          <w:p>
            <w:pPr>
              <w:jc w:val="center"/>
              <w:rPr>
                <w:rFonts w:hint="eastAsia" w:ascii="宋体" w:hAnsi="宋体" w:cs="宋体"/>
                <w:kern w:val="0"/>
                <w:sz w:val="20"/>
                <w:szCs w:val="20"/>
              </w:rPr>
            </w:pPr>
            <w:r>
              <w:rPr>
                <w:rFonts w:hint="eastAsia" w:ascii="宋体" w:hAnsi="宋体" w:cs="宋体"/>
                <w:kern w:val="0"/>
                <w:sz w:val="20"/>
                <w:szCs w:val="20"/>
              </w:rPr>
              <w:t>县教委</w:t>
            </w:r>
          </w:p>
        </w:tc>
        <w:tc>
          <w:tcPr>
            <w:tcW w:w="1157" w:type="dxa"/>
            <w:vMerge w:val="restart"/>
            <w:shd w:val="clear" w:color="auto" w:fill="auto"/>
            <w:vAlign w:val="center"/>
          </w:tcPr>
          <w:p>
            <w:pPr>
              <w:jc w:val="center"/>
              <w:rPr>
                <w:rFonts w:hint="eastAsia" w:ascii="宋体" w:hAnsi="宋体" w:cs="宋体"/>
                <w:kern w:val="0"/>
                <w:sz w:val="20"/>
                <w:szCs w:val="20"/>
              </w:rPr>
            </w:pPr>
            <w:r>
              <w:rPr>
                <w:rFonts w:hint="eastAsia" w:ascii="宋体" w:hAnsi="宋体" w:cs="宋体"/>
                <w:kern w:val="0"/>
                <w:sz w:val="20"/>
                <w:szCs w:val="20"/>
              </w:rPr>
              <w:t>高级中学</w:t>
            </w: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高中语文教师</w:t>
            </w:r>
          </w:p>
        </w:tc>
        <w:tc>
          <w:tcPr>
            <w:tcW w:w="1276" w:type="dxa"/>
            <w:vMerge w:val="restart"/>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专技12级</w:t>
            </w:r>
            <w:r>
              <w:rPr>
                <w:rFonts w:ascii="宋体" w:hAnsi="宋体" w:cs="宋体"/>
                <w:kern w:val="0"/>
                <w:sz w:val="20"/>
                <w:szCs w:val="20"/>
              </w:rPr>
              <w:t>及以上</w:t>
            </w:r>
          </w:p>
        </w:tc>
        <w:tc>
          <w:tcPr>
            <w:tcW w:w="1154" w:type="dxa"/>
            <w:vMerge w:val="restart"/>
            <w:shd w:val="clear" w:color="auto" w:fill="auto"/>
            <w:vAlign w:val="center"/>
          </w:tcPr>
          <w:p>
            <w:pPr>
              <w:jc w:val="center"/>
              <w:rPr>
                <w:rFonts w:ascii="宋体" w:hAnsi="宋体" w:cs="宋体"/>
                <w:kern w:val="0"/>
                <w:sz w:val="20"/>
                <w:szCs w:val="20"/>
              </w:rPr>
            </w:pPr>
            <w:r>
              <w:rPr>
                <w:rFonts w:eastAsia="方正仿宋_GBK"/>
                <w:kern w:val="0"/>
                <w:szCs w:val="21"/>
              </w:rPr>
              <w:t>全日制普通高校研究生学历并取得相应学位或全日制重点高校本科及以上学历并取得相应学位</w:t>
            </w:r>
          </w:p>
        </w:tc>
        <w:tc>
          <w:tcPr>
            <w:tcW w:w="3358"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中国语言文学类、汉语国际教育、华文教育、文秘教育、中文教育、秘书教育</w:t>
            </w:r>
          </w:p>
        </w:tc>
        <w:tc>
          <w:tcPr>
            <w:tcW w:w="3001" w:type="dxa"/>
            <w:shd w:val="clear" w:color="auto" w:fill="auto"/>
            <w:tcMar>
              <w:left w:w="0" w:type="dxa"/>
              <w:right w:w="0"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35周岁及以下，须于2017年7月31日前取得高级中学及以上教师资格证，普通话等级须达到二级甲等及以上。</w:t>
            </w:r>
          </w:p>
        </w:tc>
        <w:tc>
          <w:tcPr>
            <w:tcW w:w="787" w:type="dxa"/>
            <w:vMerge w:val="restart"/>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初试与业务能力操作相结合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4</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559" w:type="dxa"/>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高中数学教师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数学类、数学教育</w:t>
            </w:r>
          </w:p>
        </w:tc>
        <w:tc>
          <w:tcPr>
            <w:tcW w:w="3001" w:type="dxa"/>
            <w:vMerge w:val="restart"/>
            <w:shd w:val="clear" w:color="auto" w:fill="auto"/>
            <w:tcMar>
              <w:left w:w="0" w:type="dxa"/>
              <w:right w:w="0" w:type="dxa"/>
            </w:tcMar>
            <w:vAlign w:val="center"/>
          </w:tcPr>
          <w:p>
            <w:pPr>
              <w:jc w:val="left"/>
              <w:rPr>
                <w:rFonts w:ascii="宋体" w:hAnsi="宋体" w:cs="宋体"/>
                <w:kern w:val="0"/>
                <w:sz w:val="20"/>
                <w:szCs w:val="20"/>
              </w:rPr>
            </w:pPr>
            <w:r>
              <w:rPr>
                <w:rFonts w:hint="eastAsia" w:ascii="宋体" w:hAnsi="宋体" w:cs="宋体"/>
                <w:kern w:val="0"/>
                <w:sz w:val="20"/>
                <w:szCs w:val="20"/>
              </w:rPr>
              <w:t>35周岁及以下，须于2017年7月31日前取得高级中学及以上教师资格证。</w:t>
            </w: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高中英语教师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英语语言文学、英语、应用英语、英语翻译</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高中物理教师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物理学类</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高中化学教师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化学类</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高中生物教师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生物科学类</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559"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高中政治教师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widowControl/>
              <w:jc w:val="center"/>
              <w:rPr>
                <w:rFonts w:hint="eastAsia" w:ascii="宋体" w:hAnsi="宋体" w:cs="宋体"/>
                <w:kern w:val="0"/>
                <w:sz w:val="20"/>
                <w:szCs w:val="20"/>
              </w:rPr>
            </w:pPr>
            <w:r>
              <w:rPr>
                <w:rFonts w:ascii="宋体" w:hAnsi="宋体" w:cs="宋体"/>
                <w:kern w:val="0"/>
                <w:sz w:val="20"/>
                <w:szCs w:val="20"/>
              </w:rPr>
              <w:t>政治学类、思想政治教育</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559"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高中地理教师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地理科学类</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52"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县教委</w:t>
            </w:r>
          </w:p>
        </w:tc>
        <w:tc>
          <w:tcPr>
            <w:tcW w:w="1157" w:type="dxa"/>
            <w:vMerge w:val="restart"/>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秀山一中</w:t>
            </w:r>
          </w:p>
        </w:tc>
        <w:tc>
          <w:tcPr>
            <w:tcW w:w="708" w:type="dxa"/>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559"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高中数学教师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数学类、数学教育</w:t>
            </w:r>
          </w:p>
        </w:tc>
        <w:tc>
          <w:tcPr>
            <w:tcW w:w="3001" w:type="dxa"/>
            <w:vMerge w:val="continue"/>
            <w:shd w:val="clear" w:color="auto" w:fill="auto"/>
            <w:vAlign w:val="center"/>
          </w:tcPr>
          <w:p>
            <w:pPr>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jc w:val="center"/>
              <w:rPr>
                <w:rFonts w:ascii="宋体" w:hAnsi="宋体" w:cs="宋体"/>
                <w:kern w:val="0"/>
                <w:sz w:val="20"/>
                <w:szCs w:val="20"/>
              </w:rPr>
            </w:pP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55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高中物理教师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jc w:val="center"/>
              <w:rPr>
                <w:rFonts w:ascii="宋体" w:hAnsi="宋体" w:cs="宋体"/>
                <w:kern w:val="0"/>
                <w:sz w:val="20"/>
                <w:szCs w:val="20"/>
              </w:rPr>
            </w:pPr>
            <w:r>
              <w:rPr>
                <w:rFonts w:ascii="宋体" w:hAnsi="宋体" w:cs="宋体"/>
                <w:kern w:val="0"/>
                <w:sz w:val="20"/>
                <w:szCs w:val="20"/>
              </w:rPr>
              <w:t>物理学类</w:t>
            </w:r>
          </w:p>
        </w:tc>
        <w:tc>
          <w:tcPr>
            <w:tcW w:w="3001" w:type="dxa"/>
            <w:vMerge w:val="continue"/>
            <w:shd w:val="clear" w:color="auto" w:fill="auto"/>
            <w:vAlign w:val="center"/>
          </w:tcPr>
          <w:p>
            <w:pPr>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52" w:type="dxa"/>
            <w:vMerge w:val="continue"/>
            <w:shd w:val="clear" w:color="auto" w:fill="auto"/>
            <w:vAlign w:val="center"/>
          </w:tcPr>
          <w:p>
            <w:pPr>
              <w:jc w:val="center"/>
              <w:rPr>
                <w:rFonts w:ascii="宋体" w:hAnsi="宋体" w:cs="宋体"/>
                <w:kern w:val="0"/>
                <w:sz w:val="20"/>
                <w:szCs w:val="20"/>
              </w:rPr>
            </w:pPr>
          </w:p>
        </w:tc>
        <w:tc>
          <w:tcPr>
            <w:tcW w:w="1157" w:type="dxa"/>
            <w:vMerge w:val="continue"/>
            <w:shd w:val="clear" w:color="auto" w:fill="auto"/>
            <w:vAlign w:val="center"/>
          </w:tcPr>
          <w:p>
            <w:pPr>
              <w:jc w:val="center"/>
              <w:rPr>
                <w:rFonts w:hint="eastAsia" w:ascii="宋体" w:hAnsi="宋体" w:cs="宋体"/>
                <w:kern w:val="0"/>
                <w:sz w:val="20"/>
                <w:szCs w:val="20"/>
              </w:rPr>
            </w:pPr>
          </w:p>
        </w:tc>
        <w:tc>
          <w:tcPr>
            <w:tcW w:w="7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55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高中化学教师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jc w:val="center"/>
              <w:rPr>
                <w:rFonts w:ascii="宋体" w:hAnsi="宋体" w:cs="宋体"/>
                <w:kern w:val="0"/>
                <w:sz w:val="20"/>
                <w:szCs w:val="20"/>
              </w:rPr>
            </w:pPr>
          </w:p>
        </w:tc>
        <w:tc>
          <w:tcPr>
            <w:tcW w:w="335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化学类</w:t>
            </w:r>
          </w:p>
        </w:tc>
        <w:tc>
          <w:tcPr>
            <w:tcW w:w="3001" w:type="dxa"/>
            <w:vMerge w:val="continue"/>
            <w:shd w:val="clear" w:color="auto" w:fill="auto"/>
            <w:tcMar>
              <w:left w:w="0" w:type="dxa"/>
              <w:right w:w="0" w:type="dxa"/>
            </w:tcMar>
            <w:vAlign w:val="center"/>
          </w:tcPr>
          <w:p>
            <w:pPr>
              <w:jc w:val="center"/>
              <w:rPr>
                <w:rFonts w:ascii="宋体" w:hAnsi="宋体" w:cs="宋体"/>
                <w:kern w:val="0"/>
                <w:sz w:val="20"/>
                <w:szCs w:val="20"/>
              </w:rPr>
            </w:pPr>
          </w:p>
        </w:tc>
        <w:tc>
          <w:tcPr>
            <w:tcW w:w="787" w:type="dxa"/>
            <w:vMerge w:val="continue"/>
            <w:shd w:val="clear" w:color="auto" w:fill="auto"/>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52" w:type="dxa"/>
            <w:vMerge w:val="continue"/>
            <w:shd w:val="clear" w:color="auto" w:fill="auto"/>
            <w:vAlign w:val="center"/>
          </w:tcPr>
          <w:p>
            <w:pPr>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tcBorders>
              <w:bottom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276" w:type="dxa"/>
            <w:tcBorders>
              <w:bottom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559" w:type="dxa"/>
            <w:tcBorders>
              <w:bottom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高中生物教师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jc w:val="center"/>
              <w:rPr>
                <w:rFonts w:ascii="宋体" w:hAnsi="宋体" w:cs="宋体"/>
                <w:kern w:val="0"/>
                <w:sz w:val="20"/>
                <w:szCs w:val="20"/>
              </w:rPr>
            </w:pPr>
          </w:p>
        </w:tc>
        <w:tc>
          <w:tcPr>
            <w:tcW w:w="3358" w:type="dxa"/>
            <w:tcBorders>
              <w:bottom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生物科学类</w:t>
            </w:r>
          </w:p>
        </w:tc>
        <w:tc>
          <w:tcPr>
            <w:tcW w:w="3001" w:type="dxa"/>
            <w:vMerge w:val="continue"/>
            <w:shd w:val="clear" w:color="auto" w:fill="auto"/>
            <w:vAlign w:val="center"/>
          </w:tcPr>
          <w:p>
            <w:pPr>
              <w:jc w:val="center"/>
              <w:rPr>
                <w:rFonts w:ascii="宋体" w:hAnsi="宋体" w:cs="宋体"/>
                <w:kern w:val="0"/>
                <w:sz w:val="20"/>
                <w:szCs w:val="20"/>
              </w:rPr>
            </w:pPr>
          </w:p>
        </w:tc>
        <w:tc>
          <w:tcPr>
            <w:tcW w:w="787" w:type="dxa"/>
            <w:vMerge w:val="continue"/>
            <w:shd w:val="clear" w:color="auto" w:fill="auto"/>
            <w:vAlign w:val="center"/>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852" w:type="dxa"/>
            <w:vMerge w:val="continue"/>
            <w:shd w:val="clear" w:color="auto" w:fill="auto"/>
            <w:vAlign w:val="center"/>
          </w:tcPr>
          <w:p>
            <w:pPr>
              <w:widowControl/>
              <w:jc w:val="center"/>
              <w:rPr>
                <w:rFonts w:ascii="宋体" w:hAnsi="宋体" w:cs="宋体"/>
                <w:kern w:val="0"/>
                <w:sz w:val="20"/>
                <w:szCs w:val="20"/>
              </w:rPr>
            </w:pPr>
          </w:p>
        </w:tc>
        <w:tc>
          <w:tcPr>
            <w:tcW w:w="1157" w:type="dxa"/>
            <w:vMerge w:val="continue"/>
            <w:shd w:val="clear" w:color="auto" w:fill="auto"/>
            <w:vAlign w:val="center"/>
          </w:tcPr>
          <w:p>
            <w:pPr>
              <w:widowControl/>
              <w:jc w:val="center"/>
              <w:rPr>
                <w:rFonts w:ascii="宋体" w:hAnsi="宋体" w:cs="宋体"/>
                <w:kern w:val="0"/>
                <w:sz w:val="20"/>
                <w:szCs w:val="20"/>
              </w:rPr>
            </w:pPr>
          </w:p>
        </w:tc>
        <w:tc>
          <w:tcPr>
            <w:tcW w:w="7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55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高中地理教师</w:t>
            </w:r>
          </w:p>
        </w:tc>
        <w:tc>
          <w:tcPr>
            <w:tcW w:w="1276" w:type="dxa"/>
            <w:vMerge w:val="continue"/>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shd w:val="clear" w:color="auto" w:fill="auto"/>
            <w:vAlign w:val="center"/>
          </w:tcPr>
          <w:p>
            <w:pPr>
              <w:widowControl/>
              <w:jc w:val="center"/>
              <w:rPr>
                <w:rFonts w:ascii="宋体" w:hAnsi="宋体" w:cs="宋体"/>
                <w:kern w:val="0"/>
                <w:sz w:val="20"/>
                <w:szCs w:val="20"/>
              </w:rPr>
            </w:pPr>
          </w:p>
        </w:tc>
        <w:tc>
          <w:tcPr>
            <w:tcW w:w="335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地理科学类</w:t>
            </w:r>
          </w:p>
        </w:tc>
        <w:tc>
          <w:tcPr>
            <w:tcW w:w="3001" w:type="dxa"/>
            <w:vMerge w:val="continue"/>
            <w:shd w:val="clear" w:color="auto" w:fill="auto"/>
            <w:vAlign w:val="center"/>
          </w:tcPr>
          <w:p>
            <w:pPr>
              <w:widowControl/>
              <w:jc w:val="center"/>
              <w:rPr>
                <w:rFonts w:ascii="宋体" w:hAnsi="宋体" w:cs="宋体"/>
                <w:kern w:val="0"/>
                <w:sz w:val="20"/>
                <w:szCs w:val="20"/>
              </w:rPr>
            </w:pPr>
          </w:p>
        </w:tc>
        <w:tc>
          <w:tcPr>
            <w:tcW w:w="787" w:type="dxa"/>
            <w:vMerge w:val="continue"/>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852" w:type="dxa"/>
            <w:vMerge w:val="restart"/>
            <w:shd w:val="clear" w:color="auto" w:fill="auto"/>
            <w:vAlign w:val="center"/>
          </w:tcPr>
          <w:p>
            <w:pPr>
              <w:jc w:val="center"/>
              <w:rPr>
                <w:rFonts w:hint="eastAsia" w:ascii="宋体" w:hAnsi="宋体" w:cs="宋体"/>
                <w:kern w:val="0"/>
                <w:sz w:val="20"/>
                <w:szCs w:val="20"/>
              </w:rPr>
            </w:pPr>
            <w:r>
              <w:rPr>
                <w:rFonts w:hint="eastAsia" w:ascii="宋体" w:hAnsi="宋体" w:cs="宋体"/>
                <w:kern w:val="0"/>
                <w:sz w:val="20"/>
                <w:szCs w:val="20"/>
              </w:rPr>
              <w:t>县教委</w:t>
            </w:r>
          </w:p>
        </w:tc>
        <w:tc>
          <w:tcPr>
            <w:tcW w:w="1157" w:type="dxa"/>
            <w:vMerge w:val="restart"/>
            <w:shd w:val="clear" w:color="auto" w:fill="auto"/>
            <w:vAlign w:val="center"/>
          </w:tcPr>
          <w:p>
            <w:pPr>
              <w:jc w:val="center"/>
              <w:rPr>
                <w:rFonts w:hint="eastAsia" w:ascii="宋体" w:hAnsi="宋体" w:cs="宋体"/>
                <w:kern w:val="0"/>
                <w:sz w:val="20"/>
                <w:szCs w:val="20"/>
              </w:rPr>
            </w:pPr>
            <w:r>
              <w:rPr>
                <w:rFonts w:hint="eastAsia" w:ascii="宋体" w:hAnsi="宋体" w:cs="宋体"/>
                <w:kern w:val="0"/>
                <w:sz w:val="20"/>
                <w:szCs w:val="20"/>
              </w:rPr>
              <w:t>秀山一中</w:t>
            </w:r>
          </w:p>
        </w:tc>
        <w:tc>
          <w:tcPr>
            <w:tcW w:w="70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6"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559"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高中语文教师</w:t>
            </w:r>
          </w:p>
        </w:tc>
        <w:tc>
          <w:tcPr>
            <w:tcW w:w="1276" w:type="dxa"/>
            <w:vMerge w:val="restart"/>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专技12级</w:t>
            </w:r>
            <w:r>
              <w:rPr>
                <w:rFonts w:ascii="宋体" w:hAnsi="宋体" w:cs="宋体"/>
                <w:kern w:val="0"/>
                <w:sz w:val="20"/>
                <w:szCs w:val="20"/>
              </w:rPr>
              <w:t>及以上</w:t>
            </w:r>
          </w:p>
        </w:tc>
        <w:tc>
          <w:tcPr>
            <w:tcW w:w="1154" w:type="dxa"/>
            <w:vMerge w:val="restart"/>
            <w:shd w:val="clear" w:color="auto" w:fill="auto"/>
            <w:vAlign w:val="center"/>
          </w:tcPr>
          <w:p>
            <w:pPr>
              <w:jc w:val="center"/>
              <w:rPr>
                <w:rFonts w:ascii="宋体" w:hAnsi="宋体" w:cs="宋体"/>
                <w:kern w:val="0"/>
                <w:sz w:val="20"/>
                <w:szCs w:val="20"/>
              </w:rPr>
            </w:pPr>
            <w:r>
              <w:rPr>
                <w:rFonts w:eastAsia="方正仿宋_GBK"/>
                <w:kern w:val="0"/>
                <w:szCs w:val="21"/>
              </w:rPr>
              <w:t>全日制普通高校研究生学历并取得相应学位或全日制重点高校本科及以上学历并取得相应学位</w:t>
            </w:r>
          </w:p>
        </w:tc>
        <w:tc>
          <w:tcPr>
            <w:tcW w:w="3358"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中国语言文学类、汉语国际教育、华文教育、文秘教育、中文教育、秘书教育</w:t>
            </w:r>
          </w:p>
        </w:tc>
        <w:tc>
          <w:tcPr>
            <w:tcW w:w="3001" w:type="dxa"/>
            <w:shd w:val="clear" w:color="auto" w:fill="auto"/>
            <w:tcMar>
              <w:left w:w="0" w:type="dxa"/>
              <w:right w:w="0"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35周岁及以下，须于2017年7月31日前取得高级中学及以上教师资格证，普通话等级须达到二级甲等及以上。</w:t>
            </w:r>
          </w:p>
        </w:tc>
        <w:tc>
          <w:tcPr>
            <w:tcW w:w="787" w:type="dxa"/>
            <w:vMerge w:val="restart"/>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初试与业务能力操作相结合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852" w:type="dxa"/>
            <w:vMerge w:val="continue"/>
            <w:tcBorders>
              <w:bottom w:val="single" w:color="auto" w:sz="4" w:space="0"/>
            </w:tcBorders>
            <w:shd w:val="clear" w:color="auto" w:fill="auto"/>
            <w:vAlign w:val="center"/>
          </w:tcPr>
          <w:p>
            <w:pPr>
              <w:widowControl/>
              <w:jc w:val="center"/>
              <w:rPr>
                <w:rFonts w:ascii="宋体" w:hAnsi="宋体" w:cs="宋体"/>
                <w:kern w:val="0"/>
                <w:sz w:val="20"/>
                <w:szCs w:val="20"/>
              </w:rPr>
            </w:pPr>
          </w:p>
        </w:tc>
        <w:tc>
          <w:tcPr>
            <w:tcW w:w="1157" w:type="dxa"/>
            <w:vMerge w:val="continue"/>
            <w:tcBorders>
              <w:bottom w:val="single" w:color="auto" w:sz="4" w:space="0"/>
            </w:tcBorders>
            <w:shd w:val="clear" w:color="auto" w:fill="auto"/>
            <w:vAlign w:val="center"/>
          </w:tcPr>
          <w:p>
            <w:pPr>
              <w:widowControl/>
              <w:jc w:val="center"/>
              <w:rPr>
                <w:rFonts w:ascii="宋体" w:hAnsi="宋体" w:cs="宋体"/>
                <w:kern w:val="0"/>
                <w:sz w:val="20"/>
                <w:szCs w:val="20"/>
              </w:rPr>
            </w:pPr>
          </w:p>
        </w:tc>
        <w:tc>
          <w:tcPr>
            <w:tcW w:w="708" w:type="dxa"/>
            <w:tcBorders>
              <w:bottom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6" w:type="dxa"/>
            <w:tcBorders>
              <w:bottom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559" w:type="dxa"/>
            <w:tcBorders>
              <w:bottom w:val="single" w:color="auto" w:sz="4" w:space="0"/>
            </w:tcBorders>
            <w:shd w:val="clear" w:color="auto" w:fill="auto"/>
            <w:vAlign w:val="center"/>
          </w:tcPr>
          <w:p>
            <w:pPr>
              <w:widowControl/>
              <w:jc w:val="center"/>
              <w:rPr>
                <w:rFonts w:hint="eastAsia" w:ascii="方正仿宋_GBK" w:hAnsi="宋体" w:eastAsia="方正仿宋_GBK" w:cs="宋体"/>
                <w:color w:val="000000"/>
                <w:kern w:val="0"/>
                <w:sz w:val="20"/>
                <w:szCs w:val="20"/>
              </w:rPr>
            </w:pPr>
            <w:r>
              <w:rPr>
                <w:rFonts w:hint="eastAsia" w:ascii="宋体" w:hAnsi="宋体" w:cs="宋体"/>
                <w:color w:val="000000"/>
                <w:kern w:val="0"/>
                <w:sz w:val="20"/>
                <w:szCs w:val="20"/>
              </w:rPr>
              <w:t>高中英语教师</w:t>
            </w:r>
          </w:p>
        </w:tc>
        <w:tc>
          <w:tcPr>
            <w:tcW w:w="1276" w:type="dxa"/>
            <w:vMerge w:val="continue"/>
            <w:tcBorders>
              <w:bottom w:val="single" w:color="auto" w:sz="4" w:space="0"/>
            </w:tcBorders>
            <w:shd w:val="clear" w:color="auto" w:fill="auto"/>
            <w:vAlign w:val="center"/>
          </w:tcPr>
          <w:p>
            <w:pPr>
              <w:jc w:val="center"/>
              <w:rPr>
                <w:rFonts w:hint="eastAsia" w:ascii="方正仿宋_GBK" w:hAnsi="宋体" w:eastAsia="方正仿宋_GBK" w:cs="宋体"/>
                <w:kern w:val="0"/>
                <w:sz w:val="20"/>
                <w:szCs w:val="20"/>
              </w:rPr>
            </w:pPr>
          </w:p>
        </w:tc>
        <w:tc>
          <w:tcPr>
            <w:tcW w:w="1154" w:type="dxa"/>
            <w:vMerge w:val="continue"/>
            <w:tcBorders>
              <w:bottom w:val="single" w:color="auto" w:sz="4" w:space="0"/>
            </w:tcBorders>
            <w:shd w:val="clear" w:color="auto" w:fill="auto"/>
            <w:vAlign w:val="center"/>
          </w:tcPr>
          <w:p>
            <w:pPr>
              <w:widowControl/>
              <w:jc w:val="center"/>
              <w:rPr>
                <w:rFonts w:ascii="宋体" w:hAnsi="宋体" w:cs="宋体"/>
                <w:kern w:val="0"/>
                <w:sz w:val="20"/>
                <w:szCs w:val="20"/>
              </w:rPr>
            </w:pPr>
          </w:p>
        </w:tc>
        <w:tc>
          <w:tcPr>
            <w:tcW w:w="3358" w:type="dxa"/>
            <w:tcBorders>
              <w:bottom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英语语言文学、英语、应用英语、英语翻译</w:t>
            </w:r>
          </w:p>
        </w:tc>
        <w:tc>
          <w:tcPr>
            <w:tcW w:w="3001" w:type="dxa"/>
            <w:tcBorders>
              <w:bottom w:val="single" w:color="auto" w:sz="4" w:space="0"/>
            </w:tcBorders>
            <w:shd w:val="clear" w:color="auto" w:fill="auto"/>
            <w:tcMar>
              <w:left w:w="0" w:type="dxa"/>
              <w:right w:w="0" w:type="dxa"/>
            </w:tcMar>
            <w:vAlign w:val="center"/>
          </w:tcPr>
          <w:p>
            <w:pPr>
              <w:jc w:val="left"/>
              <w:rPr>
                <w:rFonts w:ascii="宋体" w:hAnsi="宋体" w:cs="宋体"/>
                <w:kern w:val="0"/>
                <w:sz w:val="20"/>
                <w:szCs w:val="20"/>
              </w:rPr>
            </w:pPr>
            <w:r>
              <w:rPr>
                <w:rFonts w:hint="eastAsia" w:ascii="宋体" w:hAnsi="宋体" w:cs="宋体"/>
                <w:kern w:val="0"/>
                <w:sz w:val="20"/>
                <w:szCs w:val="20"/>
              </w:rPr>
              <w:t>35周岁及以下，须于2017年7月31日前取得初级中学及以上教师资格证。</w:t>
            </w:r>
          </w:p>
        </w:tc>
        <w:tc>
          <w:tcPr>
            <w:tcW w:w="787" w:type="dxa"/>
            <w:vMerge w:val="continue"/>
            <w:tcBorders>
              <w:bottom w:val="single" w:color="auto" w:sz="4" w:space="0"/>
            </w:tcBorders>
            <w:shd w:val="clear" w:color="auto" w:fill="auto"/>
            <w:vAlign w:val="center"/>
          </w:tcPr>
          <w:p>
            <w:pPr>
              <w:widowControl/>
              <w:jc w:val="center"/>
              <w:rPr>
                <w:rFonts w:ascii="宋体" w:hAnsi="宋体" w:cs="宋体"/>
                <w:kern w:val="0"/>
                <w:sz w:val="20"/>
                <w:szCs w:val="20"/>
              </w:rPr>
            </w:pPr>
          </w:p>
        </w:tc>
      </w:tr>
    </w:tbl>
    <w:p>
      <w:pPr>
        <w:ind w:right="-233" w:rightChars="-111" w:firstLine="480" w:firstLineChars="200"/>
        <w:rPr>
          <w:rFonts w:ascii="宋体" w:hAnsi="宋体" w:cs="宋体"/>
          <w:kern w:val="0"/>
          <w:sz w:val="24"/>
        </w:rPr>
        <w:sectPr>
          <w:headerReference r:id="rId3" w:type="default"/>
          <w:footerReference r:id="rId4" w:type="default"/>
          <w:footerReference r:id="rId5" w:type="even"/>
          <w:pgSz w:w="16838" w:h="11906" w:orient="landscape"/>
          <w:pgMar w:top="1247" w:right="737" w:bottom="1701" w:left="737" w:header="567" w:footer="567" w:gutter="0"/>
          <w:cols w:space="425" w:num="1"/>
          <w:docGrid w:linePitch="312" w:charSpace="0"/>
        </w:sectPr>
      </w:pPr>
      <w:r>
        <w:rPr>
          <w:rFonts w:hint="eastAsia" w:ascii="方正仿宋简体" w:eastAsia="方正仿宋简体"/>
          <w:sz w:val="24"/>
        </w:rPr>
        <w:t>注：</w:t>
      </w:r>
      <w:r>
        <w:rPr>
          <w:rFonts w:hint="eastAsia" w:ascii="方正仿宋简体" w:hAnsi="宋体" w:eastAsia="方正仿宋简体" w:cs="宋体"/>
          <w:kern w:val="0"/>
          <w:sz w:val="24"/>
        </w:rPr>
        <w:t>1.</w:t>
      </w:r>
      <w:r>
        <w:rPr>
          <w:rFonts w:hint="eastAsia" w:ascii="方正仿宋简体" w:eastAsia="方正仿宋简体"/>
          <w:sz w:val="24"/>
        </w:rPr>
        <w:t>表中年龄计算截止时间为2016年11月9日，即“35周岁及以下”为1980年11月10日及以后出生，以此类推；</w:t>
      </w:r>
      <w:r>
        <w:rPr>
          <w:rFonts w:hint="eastAsia" w:ascii="方正仿宋简体" w:hAnsi="宋体" w:eastAsia="方正仿宋简体" w:cs="宋体"/>
          <w:kern w:val="0"/>
          <w:sz w:val="24"/>
        </w:rPr>
        <w:t>2.表中专业分类参照《重庆市考试录用公务员专业参考目录（2015年上半年修订）执行。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10D9D"/>
    <w:rsid w:val="42610D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2016-10-26T09:01:00Z</dcterms:created>
  <dc:creator>guoqiang</dc:creator>
  <cp:lastModifiedBy>guoqiang</cp:lastModifiedBy>
  <dcterms:modified xsi:type="dcterms:W3CDTF">2016-10-26T09:02:23Z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