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uto"/>
        <w:ind w:left="1440" w:firstLine="420"/>
      </w:pPr>
      <w:r>
        <w:rPr>
          <w:rFonts w:ascii="仿宋_GB2312" w:eastAsia="仿宋_GB2312" w:cs="仿宋_GB2312"/>
          <w:b w:val="0"/>
          <w:sz w:val="24"/>
          <w:szCs w:val="24"/>
        </w:rPr>
        <w:t>现确定下列人员为我单位拟聘用人员并公示如下：</w:t>
      </w:r>
    </w:p>
    <w:tbl>
      <w:tblPr>
        <w:tblW w:w="7360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1457"/>
        <w:gridCol w:w="749"/>
        <w:gridCol w:w="666"/>
        <w:gridCol w:w="1097"/>
        <w:gridCol w:w="1361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15" w:type="dxa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毕业学校及专业</w:t>
            </w:r>
          </w:p>
        </w:tc>
        <w:tc>
          <w:tcPr>
            <w:tcW w:w="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杰出青年学者及以上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A07-16-038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姜树广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1983.2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数量经济学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审计专业教师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A07-16-019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宋云玲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1978.4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清华大学/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统计学专任教师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A07-16-056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项莹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1982.8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浙江工商大学/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统计学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公共管理专任教师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A07-16-013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黄淑芳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1979.10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教育经济与管理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艺术专任教师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A07-16-065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王业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1974.10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中国美术学院/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书法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计算机专任教师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A07-16-037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张树柱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1985.2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香港理工大学/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工业与系统工程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数量经济学专任教师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A07-16-042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李佳慧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1983.10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德国科隆大学/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经济心理学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金融工程专任教师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A07-16-024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吕剑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1987.2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大连理工大学/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运筹学与控制论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究生/博士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tblCellSpacing w:w="15" w:type="dxa"/>
        </w:trPr>
        <w:tc>
          <w:tcPr>
            <w:tcW w:w="12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杰出青年学者及以上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A07-16-073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吴国庆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1964.10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研究生/博士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29ED"/>
    <w:rsid w:val="069F29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2016-07-13T00:35:00Z</dcterms:created>
  <dc:creator>Administrator</dc:creator>
  <cp:lastModifiedBy>Administrator</cp:lastModifiedBy>
  <dcterms:modified xsi:type="dcterms:W3CDTF">2016-07-13T00:37:49Z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